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3E9E" w14:textId="590016EC" w:rsidR="00E61302" w:rsidRPr="00CD7450" w:rsidRDefault="00DF0654" w:rsidP="00637B0B">
      <w:pPr>
        <w:jc w:val="center"/>
        <w:rPr>
          <w:rFonts w:ascii="Arial" w:hAnsi="Arial" w:cs="Arial"/>
          <w:b/>
          <w:bCs/>
          <w:sz w:val="22"/>
          <w:szCs w:val="22"/>
        </w:rPr>
      </w:pPr>
      <w:r w:rsidRPr="00CD7450">
        <w:rPr>
          <w:rFonts w:ascii="Arial" w:hAnsi="Arial" w:cs="Arial"/>
          <w:b/>
          <w:bCs/>
          <w:sz w:val="22"/>
          <w:szCs w:val="22"/>
        </w:rPr>
        <w:t xml:space="preserve">DEPARTMENT OF DEFENSE </w:t>
      </w:r>
      <w:r w:rsidR="000A56B4" w:rsidRPr="00CD7450">
        <w:rPr>
          <w:rFonts w:ascii="Arial" w:hAnsi="Arial" w:cs="Arial"/>
          <w:b/>
          <w:bCs/>
          <w:sz w:val="22"/>
          <w:szCs w:val="22"/>
        </w:rPr>
        <w:t>DMP TEMPLATE</w:t>
      </w:r>
    </w:p>
    <w:p w14:paraId="4DC32277" w14:textId="6924B717" w:rsidR="00DF0654" w:rsidRPr="00CD7450" w:rsidRDefault="00883A8D" w:rsidP="00637B0B">
      <w:pPr>
        <w:jc w:val="center"/>
        <w:rPr>
          <w:rFonts w:ascii="Arial" w:hAnsi="Arial" w:cs="Arial"/>
          <w:b/>
          <w:bCs/>
          <w:sz w:val="22"/>
          <w:szCs w:val="22"/>
        </w:rPr>
      </w:pPr>
      <w:r w:rsidRPr="00CD7450">
        <w:rPr>
          <w:rFonts w:ascii="Arial" w:hAnsi="Arial" w:cs="Arial"/>
          <w:b/>
          <w:bCs/>
          <w:noProof/>
          <w:sz w:val="22"/>
          <w:szCs w:val="22"/>
        </w:rPr>
        <mc:AlternateContent>
          <mc:Choice Requires="wps">
            <w:drawing>
              <wp:anchor distT="0" distB="0" distL="114300" distR="114300" simplePos="0" relativeHeight="251671552" behindDoc="0" locked="0" layoutInCell="1" allowOverlap="1" wp14:anchorId="4090DDAC" wp14:editId="38F5C230">
                <wp:simplePos x="0" y="0"/>
                <wp:positionH relativeFrom="column">
                  <wp:posOffset>9383</wp:posOffset>
                </wp:positionH>
                <wp:positionV relativeFrom="paragraph">
                  <wp:posOffset>44061</wp:posOffset>
                </wp:positionV>
                <wp:extent cx="6780378" cy="27296"/>
                <wp:effectExtent l="0" t="0" r="20955" b="30480"/>
                <wp:wrapNone/>
                <wp:docPr id="1" name="Straight Connector 1"/>
                <wp:cNvGraphicFramePr/>
                <a:graphic xmlns:a="http://schemas.openxmlformats.org/drawingml/2006/main">
                  <a:graphicData uri="http://schemas.microsoft.com/office/word/2010/wordprocessingShape">
                    <wps:wsp>
                      <wps:cNvCnPr/>
                      <wps:spPr>
                        <a:xfrm flipV="1">
                          <a:off x="0" y="0"/>
                          <a:ext cx="6780378" cy="272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9296E"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75pt,3.45pt" to="53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" strokecolor="black [3213]">
                <v:stroke joinstyle="miter"/>
              </v:line>
            </w:pict>
          </mc:Fallback>
        </mc:AlternateContent>
      </w:r>
    </w:p>
    <w:p w14:paraId="059DD883" w14:textId="77777777" w:rsidR="0049388B" w:rsidRPr="00CD7450" w:rsidRDefault="0049388B" w:rsidP="0049388B">
      <w:pPr>
        <w:pStyle w:val="HeadingNote"/>
        <w:jc w:val="left"/>
        <w:rPr>
          <w:sz w:val="22"/>
          <w:szCs w:val="22"/>
        </w:rPr>
      </w:pPr>
      <w:r w:rsidRPr="00CD7450">
        <w:rPr>
          <w:sz w:val="22"/>
          <w:szCs w:val="22"/>
        </w:rPr>
        <w:t>This plan is based on the "Department of Defense (DoD)" template provided by United States Department of Defense (DOD) - (</w:t>
      </w:r>
      <w:proofErr w:type="spellStart"/>
      <w:r w:rsidRPr="00CD7450">
        <w:rPr>
          <w:sz w:val="22"/>
          <w:szCs w:val="22"/>
        </w:rPr>
        <w:t>ver</w:t>
      </w:r>
      <w:proofErr w:type="spellEnd"/>
      <w:r w:rsidRPr="00CD7450">
        <w:rPr>
          <w:sz w:val="22"/>
          <w:szCs w:val="22"/>
        </w:rPr>
        <w:t>: 4, pub: 2021-10-25).</w:t>
      </w:r>
    </w:p>
    <w:p w14:paraId="1387CB45" w14:textId="77777777" w:rsidR="0049388B" w:rsidRPr="00CD7450" w:rsidRDefault="0049388B" w:rsidP="0049388B">
      <w:pPr>
        <w:pStyle w:val="HeadingNote"/>
        <w:jc w:val="left"/>
        <w:rPr>
          <w:sz w:val="22"/>
          <w:szCs w:val="22"/>
        </w:rPr>
      </w:pPr>
    </w:p>
    <w:p w14:paraId="46A0CA1C" w14:textId="77777777" w:rsidR="00CD7450" w:rsidRPr="00CD7450" w:rsidRDefault="0049388B" w:rsidP="00CD7450">
      <w:pPr>
        <w:pStyle w:val="HeadingNote"/>
        <w:jc w:val="left"/>
        <w:rPr>
          <w:sz w:val="22"/>
          <w:szCs w:val="22"/>
        </w:rPr>
      </w:pPr>
      <w:r w:rsidRPr="00CD7450">
        <w:rPr>
          <w:b/>
          <w:bCs/>
          <w:sz w:val="22"/>
          <w:szCs w:val="22"/>
          <w:u w:val="single"/>
        </w:rPr>
        <w:t>Instructions for using this template:</w:t>
      </w:r>
      <w:r w:rsidRPr="00CD7450">
        <w:rPr>
          <w:sz w:val="22"/>
          <w:szCs w:val="22"/>
        </w:rPr>
        <w:t xml:space="preserve"> the section headers, </w:t>
      </w:r>
      <w:r w:rsidRPr="00CD7450">
        <w:rPr>
          <w:b/>
          <w:bCs/>
          <w:sz w:val="22"/>
          <w:szCs w:val="22"/>
        </w:rPr>
        <w:t>in bold</w:t>
      </w:r>
      <w:r w:rsidRPr="00CD7450">
        <w:rPr>
          <w:sz w:val="22"/>
          <w:szCs w:val="22"/>
        </w:rPr>
        <w:t xml:space="preserve">, are the required parts to be addressed in the DMP. Under each section header, </w:t>
      </w:r>
      <w:r w:rsidRPr="00CD7450">
        <w:rPr>
          <w:sz w:val="22"/>
          <w:szCs w:val="22"/>
          <w:u w:val="single"/>
        </w:rPr>
        <w:t>the prompts in underlined text</w:t>
      </w:r>
      <w:r w:rsidRPr="00CD7450">
        <w:rPr>
          <w:sz w:val="22"/>
          <w:szCs w:val="22"/>
        </w:rPr>
        <w:t xml:space="preserve"> provide brief description of the specifics that should be covered. The intent of the guidance is as a prompt to help you consider all the types of data produced and how to manage the data. </w:t>
      </w:r>
      <w:r w:rsidR="00CD7450" w:rsidRPr="00CD7450">
        <w:rPr>
          <w:sz w:val="22"/>
          <w:szCs w:val="22"/>
        </w:rPr>
        <w:t xml:space="preserve">The plan should be </w:t>
      </w:r>
      <w:r w:rsidR="00CD7450" w:rsidRPr="00CD7450">
        <w:rPr>
          <w:sz w:val="22"/>
          <w:szCs w:val="22"/>
          <w:highlight w:val="yellow"/>
        </w:rPr>
        <w:t>no more than two pages</w:t>
      </w:r>
      <w:r w:rsidR="00CD7450" w:rsidRPr="00CD7450">
        <w:rPr>
          <w:sz w:val="22"/>
          <w:szCs w:val="22"/>
        </w:rPr>
        <w:t>.</w:t>
      </w:r>
    </w:p>
    <w:p w14:paraId="5B8DD9F3" w14:textId="21767D73" w:rsidR="0049388B" w:rsidRPr="00CD7450" w:rsidRDefault="0049388B" w:rsidP="0049388B">
      <w:pPr>
        <w:pStyle w:val="HeadingNote"/>
        <w:jc w:val="left"/>
        <w:rPr>
          <w:sz w:val="22"/>
          <w:szCs w:val="22"/>
        </w:rPr>
      </w:pPr>
      <w:r w:rsidRPr="00CD7450">
        <w:rPr>
          <w:sz w:val="22"/>
          <w:szCs w:val="22"/>
        </w:rPr>
        <w:t>With the exception of the section headers, delete all the guidance and prompts from your final document, including these instructions</w:t>
      </w:r>
      <w:r w:rsidR="000A56B4" w:rsidRPr="00CD7450">
        <w:rPr>
          <w:sz w:val="22"/>
          <w:szCs w:val="22"/>
        </w:rPr>
        <w:t xml:space="preserve"> and the information above this paragraph</w:t>
      </w:r>
      <w:r w:rsidRPr="00CD7450">
        <w:rPr>
          <w:sz w:val="22"/>
          <w:szCs w:val="22"/>
        </w:rPr>
        <w:t xml:space="preserve">. </w:t>
      </w:r>
    </w:p>
    <w:p w14:paraId="3547B82E" w14:textId="77777777" w:rsidR="00DF0654" w:rsidRPr="00CD7450" w:rsidRDefault="00DF0654" w:rsidP="0049388B">
      <w:pPr>
        <w:rPr>
          <w:rFonts w:ascii="Arial" w:hAnsi="Arial" w:cs="Arial"/>
          <w:b/>
          <w:bCs/>
          <w:sz w:val="22"/>
          <w:szCs w:val="22"/>
        </w:rPr>
      </w:pPr>
    </w:p>
    <w:p w14:paraId="6DF6A248" w14:textId="13D30BEF" w:rsidR="00DA0C6A" w:rsidRPr="00CD7450" w:rsidRDefault="00DA0C6A" w:rsidP="00E61302">
      <w:pPr>
        <w:rPr>
          <w:rFonts w:ascii="Arial" w:hAnsi="Arial" w:cs="Arial"/>
          <w:b/>
          <w:bCs/>
          <w:sz w:val="22"/>
          <w:szCs w:val="22"/>
        </w:rPr>
      </w:pPr>
      <w:r w:rsidRPr="00CD7450">
        <w:rPr>
          <w:rFonts w:ascii="Arial" w:hAnsi="Arial" w:cs="Arial"/>
          <w:b/>
          <w:bCs/>
          <w:sz w:val="22"/>
          <w:szCs w:val="22"/>
        </w:rPr>
        <w:t>Types of data produced</w:t>
      </w:r>
    </w:p>
    <w:p w14:paraId="46FA31ED" w14:textId="28173768" w:rsidR="00DA0C6A" w:rsidRPr="00CD7450" w:rsidRDefault="00DA0C6A" w:rsidP="00E61302">
      <w:pPr>
        <w:rPr>
          <w:rFonts w:ascii="Arial" w:hAnsi="Arial" w:cs="Arial"/>
          <w:b/>
          <w:bCs/>
          <w:sz w:val="22"/>
          <w:szCs w:val="22"/>
        </w:rPr>
      </w:pPr>
      <w:r w:rsidRPr="00CD7450">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1DB553EB" wp14:editId="62C7D18A">
                <wp:simplePos x="0" y="0"/>
                <wp:positionH relativeFrom="column">
                  <wp:posOffset>9525</wp:posOffset>
                </wp:positionH>
                <wp:positionV relativeFrom="paragraph">
                  <wp:posOffset>76835</wp:posOffset>
                </wp:positionV>
                <wp:extent cx="6858000" cy="38100"/>
                <wp:effectExtent l="57150" t="0" r="76200" b="133350"/>
                <wp:wrapNone/>
                <wp:docPr id="2" name="Straight Connector 2"/>
                <wp:cNvGraphicFramePr/>
                <a:graphic xmlns:a="http://schemas.openxmlformats.org/drawingml/2006/main">
                  <a:graphicData uri="http://schemas.microsoft.com/office/word/2010/wordprocessingShape">
                    <wps:wsp>
                      <wps:cNvCnPr/>
                      <wps:spPr>
                        <a:xfrm flipV="1">
                          <a:off x="0" y="0"/>
                          <a:ext cx="6858000" cy="38100"/>
                        </a:xfrm>
                        <a:prstGeom prst="line">
                          <a:avLst/>
                        </a:prstGeom>
                        <a:ln w="12700">
                          <a:solidFill>
                            <a:schemeClr val="tx1"/>
                          </a:solidFill>
                        </a:ln>
                        <a:effectLst>
                          <a:outerShdw blurRad="50800" dist="50800" dir="5400000" algn="ctr" rotWithShape="0">
                            <a:schemeClr val="tx1"/>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6443A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6.05pt" to="54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" strokecolor="black [3213]" strokeweight="1pt">
                <v:stroke joinstyle="miter"/>
                <v:shadow on="t" color="black [3213]" offset="0,4pt"/>
              </v:line>
            </w:pict>
          </mc:Fallback>
        </mc:AlternateContent>
      </w:r>
    </w:p>
    <w:p w14:paraId="67C30102" w14:textId="662590FF" w:rsidR="00E61302" w:rsidRPr="00CD7450" w:rsidRDefault="00E61302" w:rsidP="00E61302">
      <w:pPr>
        <w:ind w:firstLine="720"/>
        <w:rPr>
          <w:rFonts w:ascii="Arial" w:hAnsi="Arial" w:cs="Arial"/>
          <w:color w:val="C45911" w:themeColor="accent2" w:themeShade="BF"/>
          <w:sz w:val="22"/>
          <w:szCs w:val="22"/>
        </w:rPr>
      </w:pPr>
    </w:p>
    <w:p w14:paraId="2165869E" w14:textId="77777777" w:rsidR="00CA1580" w:rsidRPr="00CD7450" w:rsidRDefault="00CA1580" w:rsidP="00CA1580">
      <w:pPr>
        <w:rPr>
          <w:rFonts w:ascii="Arial" w:hAnsi="Arial" w:cs="Arial"/>
          <w:bCs/>
          <w:sz w:val="22"/>
          <w:szCs w:val="22"/>
          <w:u w:val="single"/>
        </w:rPr>
      </w:pPr>
      <w:r w:rsidRPr="00CD7450">
        <w:rPr>
          <w:rFonts w:ascii="Arial" w:hAnsi="Arial" w:cs="Arial"/>
          <w:bCs/>
          <w:sz w:val="22"/>
          <w:szCs w:val="22"/>
          <w:u w:val="single"/>
        </w:rPr>
        <w:t>The types of data, software, curriculum materials, and other materials to be produced in the course of the project that are publicly releasable.</w:t>
      </w:r>
    </w:p>
    <w:p w14:paraId="4CF46BBE" w14:textId="77777777" w:rsidR="00C05E57" w:rsidRPr="00CD7450" w:rsidRDefault="00C05E57" w:rsidP="00CA1580">
      <w:pPr>
        <w:rPr>
          <w:rFonts w:ascii="Arial" w:hAnsi="Arial" w:cs="Arial"/>
          <w:bCs/>
          <w:sz w:val="22"/>
          <w:szCs w:val="22"/>
          <w:u w:val="single"/>
        </w:rPr>
      </w:pPr>
    </w:p>
    <w:p w14:paraId="6ED27C3D" w14:textId="77777777" w:rsidR="00425391" w:rsidRPr="00CD7450" w:rsidRDefault="00425391" w:rsidP="00425391">
      <w:pPr>
        <w:ind w:firstLine="360"/>
        <w:rPr>
          <w:rFonts w:ascii="Arial" w:hAnsi="Arial" w:cs="Arial"/>
          <w:sz w:val="22"/>
          <w:szCs w:val="22"/>
        </w:rPr>
      </w:pPr>
      <w:r w:rsidRPr="00CD7450">
        <w:rPr>
          <w:rFonts w:ascii="Arial" w:hAnsi="Arial" w:cs="Arial"/>
          <w:sz w:val="22"/>
          <w:szCs w:val="22"/>
        </w:rPr>
        <w:t>Guidance for answering this question:</w:t>
      </w:r>
    </w:p>
    <w:p w14:paraId="1BF52E91" w14:textId="77777777" w:rsidR="00425391" w:rsidRPr="00CD7450" w:rsidRDefault="00425391" w:rsidP="00425391">
      <w:pPr>
        <w:rPr>
          <w:rFonts w:ascii="Arial" w:hAnsi="Arial" w:cs="Arial"/>
          <w:sz w:val="22"/>
          <w:szCs w:val="22"/>
        </w:rPr>
      </w:pPr>
    </w:p>
    <w:p w14:paraId="280834A3" w14:textId="77777777" w:rsidR="00425391" w:rsidRPr="00CD7450" w:rsidRDefault="00425391" w:rsidP="00425391">
      <w:pPr>
        <w:numPr>
          <w:ilvl w:val="0"/>
          <w:numId w:val="5"/>
        </w:numPr>
        <w:overflowPunct w:val="0"/>
        <w:autoSpaceDE w:val="0"/>
        <w:autoSpaceDN w:val="0"/>
        <w:adjustRightInd w:val="0"/>
        <w:rPr>
          <w:rFonts w:ascii="Arial" w:hAnsi="Arial" w:cs="Arial"/>
          <w:sz w:val="22"/>
          <w:szCs w:val="22"/>
        </w:rPr>
      </w:pPr>
      <w:r w:rsidRPr="00CD7450">
        <w:rPr>
          <w:rFonts w:ascii="Arial" w:hAnsi="Arial" w:cs="Arial"/>
          <w:sz w:val="22"/>
          <w:szCs w:val="22"/>
        </w:rPr>
        <w:t>Give a summary of the data you will collect or create, noting the content, coverage and data type, e.g., tabular data, survey data, experimental measurements, models, software, audiovisual data, physical samples, etc.</w:t>
      </w:r>
    </w:p>
    <w:p w14:paraId="5DD82163" w14:textId="77777777" w:rsidR="00425391" w:rsidRPr="00CD7450" w:rsidRDefault="00425391" w:rsidP="00425391">
      <w:pPr>
        <w:numPr>
          <w:ilvl w:val="0"/>
          <w:numId w:val="5"/>
        </w:numPr>
        <w:overflowPunct w:val="0"/>
        <w:autoSpaceDE w:val="0"/>
        <w:autoSpaceDN w:val="0"/>
        <w:adjustRightInd w:val="0"/>
        <w:rPr>
          <w:rFonts w:ascii="Arial" w:hAnsi="Arial" w:cs="Arial"/>
          <w:sz w:val="22"/>
          <w:szCs w:val="22"/>
        </w:rPr>
      </w:pPr>
      <w:r w:rsidRPr="00CD7450">
        <w:rPr>
          <w:rFonts w:ascii="Arial" w:hAnsi="Arial" w:cs="Arial"/>
          <w:sz w:val="22"/>
          <w:szCs w:val="22"/>
        </w:rPr>
        <w:t>Consider how your data could complement and integrate with existing data, or whether there are any existing data or methods that you could reuse.</w:t>
      </w:r>
    </w:p>
    <w:p w14:paraId="4785BA71" w14:textId="77777777" w:rsidR="00425391" w:rsidRPr="00CD7450" w:rsidRDefault="00425391" w:rsidP="00425391">
      <w:pPr>
        <w:numPr>
          <w:ilvl w:val="0"/>
          <w:numId w:val="5"/>
        </w:numPr>
        <w:overflowPunct w:val="0"/>
        <w:autoSpaceDE w:val="0"/>
        <w:autoSpaceDN w:val="0"/>
        <w:adjustRightInd w:val="0"/>
        <w:rPr>
          <w:rFonts w:ascii="Arial" w:hAnsi="Arial" w:cs="Arial"/>
          <w:sz w:val="22"/>
          <w:szCs w:val="22"/>
        </w:rPr>
      </w:pPr>
      <w:r w:rsidRPr="00CD7450">
        <w:rPr>
          <w:rFonts w:ascii="Arial" w:hAnsi="Arial" w:cs="Arial"/>
          <w:sz w:val="22"/>
          <w:szCs w:val="22"/>
        </w:rPr>
        <w:t>Indicate which data are of long-term value and should be shared and/or preserved.</w:t>
      </w:r>
    </w:p>
    <w:p w14:paraId="704E54F8" w14:textId="77777777" w:rsidR="00425391" w:rsidRPr="00CD7450" w:rsidRDefault="00425391" w:rsidP="00425391">
      <w:pPr>
        <w:numPr>
          <w:ilvl w:val="0"/>
          <w:numId w:val="5"/>
        </w:numPr>
        <w:overflowPunct w:val="0"/>
        <w:autoSpaceDE w:val="0"/>
        <w:autoSpaceDN w:val="0"/>
        <w:adjustRightInd w:val="0"/>
        <w:rPr>
          <w:rFonts w:ascii="Arial" w:hAnsi="Arial" w:cs="Arial"/>
          <w:sz w:val="22"/>
          <w:szCs w:val="22"/>
        </w:rPr>
      </w:pPr>
      <w:r w:rsidRPr="00CD7450">
        <w:rPr>
          <w:rFonts w:ascii="Arial" w:hAnsi="Arial" w:cs="Arial"/>
          <w:sz w:val="22"/>
          <w:szCs w:val="22"/>
        </w:rPr>
        <w:t>If purchasing or reusing existing data, explain how issues such as copyright and intellectual property rights have been addressed. You should aim to minimize any restrictions on the reuse (and subsequent sharing) of third-party data.</w:t>
      </w:r>
    </w:p>
    <w:p w14:paraId="081E98B8" w14:textId="77777777" w:rsidR="00425391" w:rsidRPr="00CD7450" w:rsidRDefault="00425391" w:rsidP="00425391">
      <w:pPr>
        <w:rPr>
          <w:rFonts w:ascii="Arial" w:hAnsi="Arial" w:cs="Arial"/>
          <w:sz w:val="22"/>
          <w:szCs w:val="22"/>
        </w:rPr>
      </w:pPr>
    </w:p>
    <w:p w14:paraId="7838D923" w14:textId="72CF1DE9" w:rsidR="004B537F" w:rsidRPr="00CD7450" w:rsidRDefault="004B537F" w:rsidP="004B537F">
      <w:pPr>
        <w:rPr>
          <w:rFonts w:ascii="Arial" w:hAnsi="Arial" w:cs="Arial"/>
          <w:b/>
          <w:bCs/>
          <w:sz w:val="22"/>
          <w:szCs w:val="22"/>
        </w:rPr>
      </w:pPr>
      <w:r w:rsidRPr="00CD7450">
        <w:rPr>
          <w:rFonts w:ascii="Arial" w:hAnsi="Arial" w:cs="Arial"/>
          <w:b/>
          <w:bCs/>
          <w:sz w:val="22"/>
          <w:szCs w:val="22"/>
        </w:rPr>
        <w:t>Data and metadata standards</w:t>
      </w:r>
    </w:p>
    <w:p w14:paraId="37EF1E55" w14:textId="77777777" w:rsidR="004B537F" w:rsidRPr="00CD7450" w:rsidRDefault="004B537F" w:rsidP="004B537F">
      <w:pPr>
        <w:rPr>
          <w:rFonts w:ascii="Arial" w:hAnsi="Arial" w:cs="Arial"/>
          <w:b/>
          <w:bCs/>
          <w:sz w:val="22"/>
          <w:szCs w:val="22"/>
        </w:rPr>
      </w:pPr>
      <w:r w:rsidRPr="00CD7450">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6B6B7E37" wp14:editId="627FFADD">
                <wp:simplePos x="0" y="0"/>
                <wp:positionH relativeFrom="column">
                  <wp:posOffset>9525</wp:posOffset>
                </wp:positionH>
                <wp:positionV relativeFrom="paragraph">
                  <wp:posOffset>76835</wp:posOffset>
                </wp:positionV>
                <wp:extent cx="6858000" cy="38100"/>
                <wp:effectExtent l="57150" t="0" r="76200" b="133350"/>
                <wp:wrapNone/>
                <wp:docPr id="3" name="Straight Connector 3"/>
                <wp:cNvGraphicFramePr/>
                <a:graphic xmlns:a="http://schemas.openxmlformats.org/drawingml/2006/main">
                  <a:graphicData uri="http://schemas.microsoft.com/office/word/2010/wordprocessingShape">
                    <wps:wsp>
                      <wps:cNvCnPr/>
                      <wps:spPr>
                        <a:xfrm flipV="1">
                          <a:off x="0" y="0"/>
                          <a:ext cx="6858000" cy="38100"/>
                        </a:xfrm>
                        <a:prstGeom prst="line">
                          <a:avLst/>
                        </a:prstGeom>
                        <a:ln w="12700">
                          <a:solidFill>
                            <a:schemeClr val="tx1"/>
                          </a:solidFill>
                        </a:ln>
                        <a:effectLst>
                          <a:outerShdw blurRad="50800" dist="50800" dir="5400000" algn="ctr" rotWithShape="0">
                            <a:schemeClr val="tx1"/>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AAFCC"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5pt,6.05pt" to="54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" strokecolor="black [3213]" strokeweight="1pt">
                <v:stroke joinstyle="miter"/>
                <v:shadow on="t" color="black [3213]" offset="0,4pt"/>
              </v:line>
            </w:pict>
          </mc:Fallback>
        </mc:AlternateContent>
      </w:r>
    </w:p>
    <w:p w14:paraId="31ADA0B4" w14:textId="77777777" w:rsidR="00DA0C6A" w:rsidRPr="00CD7450" w:rsidRDefault="00DA0C6A" w:rsidP="00416BF3">
      <w:pPr>
        <w:rPr>
          <w:rFonts w:ascii="Arial" w:hAnsi="Arial" w:cs="Arial"/>
          <w:color w:val="C45911" w:themeColor="accent2" w:themeShade="BF"/>
          <w:sz w:val="22"/>
          <w:szCs w:val="22"/>
        </w:rPr>
      </w:pPr>
    </w:p>
    <w:p w14:paraId="6174B136" w14:textId="77777777" w:rsidR="00F60A10" w:rsidRPr="00CD7450" w:rsidRDefault="00F60A10" w:rsidP="00F60A10">
      <w:pPr>
        <w:rPr>
          <w:rFonts w:ascii="Arial" w:hAnsi="Arial" w:cs="Arial"/>
          <w:bCs/>
          <w:sz w:val="22"/>
          <w:szCs w:val="22"/>
          <w:u w:val="single"/>
        </w:rPr>
      </w:pPr>
      <w:r w:rsidRPr="00CD7450">
        <w:rPr>
          <w:rFonts w:ascii="Arial" w:hAnsi="Arial" w:cs="Arial"/>
          <w:bCs/>
          <w:sz w:val="22"/>
          <w:szCs w:val="22"/>
          <w:u w:val="single"/>
        </w:rPr>
        <w:t>The standards to be used for data and metadata format and content.</w:t>
      </w:r>
    </w:p>
    <w:p w14:paraId="54BF6126" w14:textId="77777777" w:rsidR="00F60A10" w:rsidRPr="00CD7450" w:rsidRDefault="00F60A10" w:rsidP="00F60A10">
      <w:pPr>
        <w:rPr>
          <w:rFonts w:ascii="Arial" w:hAnsi="Arial" w:cs="Arial"/>
          <w:sz w:val="22"/>
          <w:szCs w:val="22"/>
        </w:rPr>
      </w:pPr>
    </w:p>
    <w:p w14:paraId="4CFEC44C" w14:textId="77777777" w:rsidR="00F60A10" w:rsidRPr="00CD7450" w:rsidRDefault="00F60A10" w:rsidP="00F60A10">
      <w:pPr>
        <w:ind w:firstLine="360"/>
        <w:rPr>
          <w:rFonts w:ascii="Arial" w:hAnsi="Arial" w:cs="Arial"/>
          <w:sz w:val="22"/>
          <w:szCs w:val="22"/>
        </w:rPr>
      </w:pPr>
      <w:r w:rsidRPr="00CD7450">
        <w:rPr>
          <w:rFonts w:ascii="Arial" w:hAnsi="Arial" w:cs="Arial"/>
          <w:sz w:val="22"/>
          <w:szCs w:val="22"/>
        </w:rPr>
        <w:t>Guidance about data format:</w:t>
      </w:r>
    </w:p>
    <w:p w14:paraId="64BD7B1D" w14:textId="77777777" w:rsidR="00F60A10" w:rsidRPr="00CD7450" w:rsidRDefault="00F60A10" w:rsidP="00F60A10">
      <w:pPr>
        <w:rPr>
          <w:rFonts w:ascii="Arial" w:hAnsi="Arial" w:cs="Arial"/>
          <w:sz w:val="22"/>
          <w:szCs w:val="22"/>
        </w:rPr>
      </w:pPr>
    </w:p>
    <w:p w14:paraId="5428E9C4" w14:textId="77777777" w:rsidR="00F60A10" w:rsidRPr="00CD7450" w:rsidRDefault="00F60A10" w:rsidP="00F60A10">
      <w:pPr>
        <w:numPr>
          <w:ilvl w:val="0"/>
          <w:numId w:val="6"/>
        </w:numPr>
        <w:overflowPunct w:val="0"/>
        <w:autoSpaceDE w:val="0"/>
        <w:autoSpaceDN w:val="0"/>
        <w:adjustRightInd w:val="0"/>
        <w:rPr>
          <w:rFonts w:ascii="Arial" w:hAnsi="Arial" w:cs="Arial"/>
          <w:sz w:val="22"/>
          <w:szCs w:val="22"/>
        </w:rPr>
      </w:pPr>
      <w:r w:rsidRPr="00CD7450">
        <w:rPr>
          <w:rFonts w:ascii="Arial" w:hAnsi="Arial" w:cs="Arial"/>
          <w:sz w:val="22"/>
          <w:szCs w:val="22"/>
        </w:rPr>
        <w:t>Clearly note what format(s) your data will be in, e.g., plain text (.txt), comma-separated values (.csv), geo-referenced TIFF (.</w:t>
      </w:r>
      <w:proofErr w:type="spellStart"/>
      <w:r w:rsidRPr="00CD7450">
        <w:rPr>
          <w:rFonts w:ascii="Arial" w:hAnsi="Arial" w:cs="Arial"/>
          <w:sz w:val="22"/>
          <w:szCs w:val="22"/>
        </w:rPr>
        <w:t>tif</w:t>
      </w:r>
      <w:proofErr w:type="spellEnd"/>
      <w:proofErr w:type="gramStart"/>
      <w:r w:rsidRPr="00CD7450">
        <w:rPr>
          <w:rFonts w:ascii="Arial" w:hAnsi="Arial" w:cs="Arial"/>
          <w:sz w:val="22"/>
          <w:szCs w:val="22"/>
        </w:rPr>
        <w:t>, .</w:t>
      </w:r>
      <w:proofErr w:type="spellStart"/>
      <w:r w:rsidRPr="00CD7450">
        <w:rPr>
          <w:rFonts w:ascii="Arial" w:hAnsi="Arial" w:cs="Arial"/>
          <w:sz w:val="22"/>
          <w:szCs w:val="22"/>
        </w:rPr>
        <w:t>tfw</w:t>
      </w:r>
      <w:proofErr w:type="spellEnd"/>
      <w:proofErr w:type="gramEnd"/>
      <w:r w:rsidRPr="00CD7450">
        <w:rPr>
          <w:rFonts w:ascii="Arial" w:hAnsi="Arial" w:cs="Arial"/>
          <w:sz w:val="22"/>
          <w:szCs w:val="22"/>
        </w:rPr>
        <w:t>).</w:t>
      </w:r>
    </w:p>
    <w:p w14:paraId="409CE310" w14:textId="77777777" w:rsidR="00F60A10" w:rsidRPr="003C0DEE" w:rsidRDefault="00F60A10" w:rsidP="00F60A10">
      <w:pPr>
        <w:numPr>
          <w:ilvl w:val="0"/>
          <w:numId w:val="6"/>
        </w:numPr>
        <w:overflowPunct w:val="0"/>
        <w:autoSpaceDE w:val="0"/>
        <w:autoSpaceDN w:val="0"/>
        <w:adjustRightInd w:val="0"/>
        <w:rPr>
          <w:rFonts w:ascii="Arial" w:hAnsi="Arial" w:cs="Arial"/>
          <w:sz w:val="22"/>
          <w:szCs w:val="22"/>
        </w:rPr>
      </w:pPr>
      <w:r w:rsidRPr="00CD7450">
        <w:rPr>
          <w:rFonts w:ascii="Arial" w:hAnsi="Arial" w:cs="Arial"/>
          <w:sz w:val="22"/>
          <w:szCs w:val="22"/>
        </w:rPr>
        <w:t xml:space="preserve">Explain why you have chosen certain formats. Decisions may be based on staff expertise, a preference for open formats, the </w:t>
      </w:r>
      <w:r w:rsidRPr="003C0DEE">
        <w:rPr>
          <w:rFonts w:ascii="Arial" w:hAnsi="Arial" w:cs="Arial"/>
          <w:sz w:val="22"/>
          <w:szCs w:val="22"/>
        </w:rPr>
        <w:t>standards accepted by data centers, or widespread usage within a given community.</w:t>
      </w:r>
    </w:p>
    <w:p w14:paraId="5DBFB500" w14:textId="77777777" w:rsidR="00F60A10" w:rsidRPr="003C0DEE" w:rsidRDefault="00F60A10" w:rsidP="00F60A10">
      <w:pPr>
        <w:numPr>
          <w:ilvl w:val="0"/>
          <w:numId w:val="6"/>
        </w:numPr>
        <w:overflowPunct w:val="0"/>
        <w:autoSpaceDE w:val="0"/>
        <w:autoSpaceDN w:val="0"/>
        <w:adjustRightInd w:val="0"/>
        <w:rPr>
          <w:rFonts w:ascii="Arial" w:hAnsi="Arial" w:cs="Arial"/>
          <w:sz w:val="22"/>
          <w:szCs w:val="22"/>
        </w:rPr>
      </w:pPr>
      <w:r w:rsidRPr="003C0DEE">
        <w:rPr>
          <w:rFonts w:ascii="Arial" w:hAnsi="Arial" w:cs="Arial"/>
          <w:sz w:val="22"/>
          <w:szCs w:val="22"/>
        </w:rPr>
        <w:t>Using standardized, interchangeable, or open formats ensures the long-term usability of data; these are recommended for sharing and archiving.</w:t>
      </w:r>
    </w:p>
    <w:p w14:paraId="1E8FB930" w14:textId="77777777" w:rsidR="00F60A10" w:rsidRPr="003C0DEE" w:rsidRDefault="00F60A10" w:rsidP="00F60A10">
      <w:pPr>
        <w:numPr>
          <w:ilvl w:val="0"/>
          <w:numId w:val="6"/>
        </w:numPr>
        <w:overflowPunct w:val="0"/>
        <w:autoSpaceDE w:val="0"/>
        <w:autoSpaceDN w:val="0"/>
        <w:adjustRightInd w:val="0"/>
        <w:rPr>
          <w:rFonts w:ascii="Arial" w:hAnsi="Arial" w:cs="Arial"/>
          <w:sz w:val="22"/>
          <w:szCs w:val="22"/>
        </w:rPr>
      </w:pPr>
      <w:r w:rsidRPr="003C0DEE">
        <w:rPr>
          <w:rFonts w:ascii="Arial" w:hAnsi="Arial" w:cs="Arial"/>
          <w:sz w:val="22"/>
          <w:szCs w:val="22"/>
        </w:rPr>
        <w:t>See </w:t>
      </w:r>
      <w:proofErr w:type="spellStart"/>
      <w:r w:rsidRPr="003C0DEE">
        <w:rPr>
          <w:rFonts w:ascii="Arial" w:hAnsi="Arial" w:cs="Arial"/>
          <w:sz w:val="22"/>
          <w:szCs w:val="22"/>
        </w:rPr>
        <w:t>DataONE</w:t>
      </w:r>
      <w:proofErr w:type="spellEnd"/>
      <w:r w:rsidRPr="003C0DEE">
        <w:rPr>
          <w:rFonts w:ascii="Arial" w:hAnsi="Arial" w:cs="Arial"/>
          <w:sz w:val="22"/>
          <w:szCs w:val="22"/>
        </w:rPr>
        <w:t xml:space="preserve"> Best Practices for </w:t>
      </w:r>
      <w:hyperlink r:id="rId7">
        <w:r w:rsidRPr="003C0DEE">
          <w:rPr>
            <w:rFonts w:ascii="Arial" w:hAnsi="Arial" w:cs="Arial"/>
            <w:color w:val="ED7D31" w:themeColor="accent2"/>
            <w:sz w:val="22"/>
            <w:szCs w:val="22"/>
          </w:rPr>
          <w:t>file formats</w:t>
        </w:r>
      </w:hyperlink>
      <w:r w:rsidRPr="003C0DEE">
        <w:rPr>
          <w:rFonts w:ascii="Arial" w:hAnsi="Arial" w:cs="Arial"/>
          <w:sz w:val="22"/>
          <w:szCs w:val="22"/>
        </w:rPr>
        <w:t>.</w:t>
      </w:r>
    </w:p>
    <w:p w14:paraId="0AC02767" w14:textId="77777777" w:rsidR="00F60A10" w:rsidRPr="00CD7450" w:rsidRDefault="00F60A10" w:rsidP="00F60A10">
      <w:pPr>
        <w:rPr>
          <w:rFonts w:ascii="Arial" w:hAnsi="Arial" w:cs="Arial"/>
          <w:sz w:val="22"/>
          <w:szCs w:val="22"/>
        </w:rPr>
      </w:pPr>
    </w:p>
    <w:p w14:paraId="08B46068" w14:textId="77777777" w:rsidR="00F60A10" w:rsidRPr="00CD7450" w:rsidRDefault="00F60A10" w:rsidP="00F60A10">
      <w:pPr>
        <w:ind w:firstLine="360"/>
        <w:rPr>
          <w:rStyle w:val="Hyperlink"/>
        </w:rPr>
      </w:pPr>
      <w:r w:rsidRPr="00CD7450">
        <w:rPr>
          <w:rFonts w:ascii="Arial" w:hAnsi="Arial" w:cs="Arial"/>
          <w:sz w:val="22"/>
          <w:szCs w:val="22"/>
        </w:rPr>
        <w:t>Guidance about metadata and documentation:</w:t>
      </w:r>
    </w:p>
    <w:p w14:paraId="0AE31BEC" w14:textId="77777777" w:rsidR="00F60A10" w:rsidRPr="00CD7450" w:rsidRDefault="00F60A10" w:rsidP="00F60A10">
      <w:pPr>
        <w:rPr>
          <w:rFonts w:ascii="Arial" w:hAnsi="Arial" w:cs="Arial"/>
          <w:sz w:val="22"/>
          <w:szCs w:val="22"/>
        </w:rPr>
      </w:pPr>
    </w:p>
    <w:p w14:paraId="45B2F1AB" w14:textId="77777777" w:rsidR="00F60A10" w:rsidRPr="00CD7450" w:rsidRDefault="00F60A10" w:rsidP="00F60A10">
      <w:pPr>
        <w:numPr>
          <w:ilvl w:val="0"/>
          <w:numId w:val="7"/>
        </w:numPr>
        <w:overflowPunct w:val="0"/>
        <w:autoSpaceDE w:val="0"/>
        <w:autoSpaceDN w:val="0"/>
        <w:adjustRightInd w:val="0"/>
        <w:rPr>
          <w:rFonts w:ascii="Arial" w:hAnsi="Arial" w:cs="Arial"/>
          <w:sz w:val="22"/>
          <w:szCs w:val="22"/>
        </w:rPr>
      </w:pPr>
      <w:r w:rsidRPr="00CD7450">
        <w:rPr>
          <w:rFonts w:ascii="Arial" w:hAnsi="Arial" w:cs="Arial"/>
          <w:sz w:val="22"/>
          <w:szCs w:val="22"/>
        </w:rPr>
        <w:t>What metadata will be provided to help others identify and discover the data?</w:t>
      </w:r>
    </w:p>
    <w:p w14:paraId="7CEE0B27" w14:textId="77777777" w:rsidR="00F60A10" w:rsidRPr="00CD7450" w:rsidRDefault="00F60A10" w:rsidP="00F60A10">
      <w:pPr>
        <w:numPr>
          <w:ilvl w:val="0"/>
          <w:numId w:val="7"/>
        </w:numPr>
        <w:overflowPunct w:val="0"/>
        <w:autoSpaceDE w:val="0"/>
        <w:autoSpaceDN w:val="0"/>
        <w:adjustRightInd w:val="0"/>
        <w:rPr>
          <w:rFonts w:ascii="Arial" w:hAnsi="Arial" w:cs="Arial"/>
          <w:sz w:val="22"/>
          <w:szCs w:val="22"/>
        </w:rPr>
      </w:pPr>
      <w:r w:rsidRPr="00CD7450">
        <w:rPr>
          <w:rFonts w:ascii="Arial" w:hAnsi="Arial" w:cs="Arial"/>
          <w:sz w:val="22"/>
          <w:szCs w:val="22"/>
        </w:rPr>
        <w:t xml:space="preserve">Researchers are strongly encouraged to use community metadata standards where these are in place. Additional information on this can be found at </w:t>
      </w:r>
      <w:hyperlink r:id="rId8" w:history="1">
        <w:r w:rsidRPr="00CD7450">
          <w:rPr>
            <w:rStyle w:val="Hyperlink"/>
            <w:rFonts w:ascii="Arial" w:hAnsi="Arial" w:cs="Arial"/>
            <w:sz w:val="22"/>
            <w:szCs w:val="22"/>
          </w:rPr>
          <w:t>Metadata Standards Directory</w:t>
        </w:r>
      </w:hyperlink>
      <w:r w:rsidRPr="00CD7450">
        <w:rPr>
          <w:rFonts w:ascii="Arial" w:hAnsi="Arial" w:cs="Arial"/>
          <w:sz w:val="22"/>
          <w:szCs w:val="22"/>
        </w:rPr>
        <w:t>. Data repositories may also provide guidance about appropriate metadata standards.</w:t>
      </w:r>
    </w:p>
    <w:p w14:paraId="532ED5CC" w14:textId="77777777" w:rsidR="00F60A10" w:rsidRPr="00CD7450" w:rsidRDefault="00F60A10" w:rsidP="00F60A10">
      <w:pPr>
        <w:numPr>
          <w:ilvl w:val="0"/>
          <w:numId w:val="7"/>
        </w:numPr>
        <w:overflowPunct w:val="0"/>
        <w:autoSpaceDE w:val="0"/>
        <w:autoSpaceDN w:val="0"/>
        <w:adjustRightInd w:val="0"/>
        <w:rPr>
          <w:rFonts w:ascii="Arial" w:hAnsi="Arial" w:cs="Arial"/>
          <w:sz w:val="22"/>
          <w:szCs w:val="22"/>
        </w:rPr>
      </w:pPr>
      <w:r w:rsidRPr="00CD7450">
        <w:rPr>
          <w:rFonts w:ascii="Arial" w:hAnsi="Arial" w:cs="Arial"/>
          <w:sz w:val="22"/>
          <w:szCs w:val="22"/>
        </w:rPr>
        <w:t xml:space="preserve">Consider what other documentation is needed to enable reuse. This may include information on the methodology used to collect the data, analytical and procedural information, definitions of variables, </w:t>
      </w:r>
      <w:r w:rsidRPr="00CD7450">
        <w:rPr>
          <w:rFonts w:ascii="Arial" w:hAnsi="Arial" w:cs="Arial"/>
          <w:sz w:val="22"/>
          <w:szCs w:val="22"/>
        </w:rPr>
        <w:lastRenderedPageBreak/>
        <w:t>units of measurement, any assumptions made, the format and file type of the data, and software used to collect and/or process the data.</w:t>
      </w:r>
    </w:p>
    <w:p w14:paraId="46CCCC0D" w14:textId="77777777" w:rsidR="00F60A10" w:rsidRPr="00CD7450" w:rsidRDefault="00F60A10" w:rsidP="00F60A10">
      <w:pPr>
        <w:numPr>
          <w:ilvl w:val="0"/>
          <w:numId w:val="7"/>
        </w:numPr>
        <w:overflowPunct w:val="0"/>
        <w:autoSpaceDE w:val="0"/>
        <w:autoSpaceDN w:val="0"/>
        <w:adjustRightInd w:val="0"/>
        <w:rPr>
          <w:rFonts w:ascii="Arial" w:hAnsi="Arial" w:cs="Arial"/>
          <w:sz w:val="22"/>
          <w:szCs w:val="22"/>
        </w:rPr>
      </w:pPr>
      <w:r w:rsidRPr="00CD7450">
        <w:rPr>
          <w:rFonts w:ascii="Arial" w:hAnsi="Arial" w:cs="Arial"/>
          <w:sz w:val="22"/>
          <w:szCs w:val="22"/>
        </w:rPr>
        <w:t>Consider how you will capture this information and where it will be recorded, e.g., in a database with links to each item, in a "readme" text file, in file headers, etc.</w:t>
      </w:r>
    </w:p>
    <w:p w14:paraId="1FA4F1B3" w14:textId="77777777" w:rsidR="003356A0" w:rsidRPr="00CD7450" w:rsidRDefault="003356A0" w:rsidP="00F60A10">
      <w:pPr>
        <w:rPr>
          <w:rFonts w:ascii="Arial" w:hAnsi="Arial" w:cs="Arial"/>
          <w:b/>
          <w:bCs/>
          <w:sz w:val="22"/>
          <w:szCs w:val="22"/>
        </w:rPr>
      </w:pPr>
    </w:p>
    <w:p w14:paraId="769EB632" w14:textId="6407F092" w:rsidR="00F60A10" w:rsidRPr="00CD7450" w:rsidRDefault="00F60A10" w:rsidP="00F60A10">
      <w:pPr>
        <w:rPr>
          <w:rFonts w:ascii="Arial" w:hAnsi="Arial" w:cs="Arial"/>
          <w:b/>
          <w:bCs/>
          <w:sz w:val="22"/>
          <w:szCs w:val="22"/>
        </w:rPr>
      </w:pPr>
      <w:r w:rsidRPr="00CD7450">
        <w:rPr>
          <w:rFonts w:ascii="Arial" w:hAnsi="Arial" w:cs="Arial"/>
          <w:b/>
          <w:bCs/>
          <w:sz w:val="22"/>
          <w:szCs w:val="22"/>
        </w:rPr>
        <w:t>Conditions for access and sharing</w:t>
      </w:r>
    </w:p>
    <w:p w14:paraId="41C0848A" w14:textId="77777777" w:rsidR="00F60A10" w:rsidRPr="00CD7450" w:rsidRDefault="00F60A10" w:rsidP="00F60A10">
      <w:pPr>
        <w:ind w:left="360"/>
        <w:rPr>
          <w:rFonts w:ascii="Arial" w:hAnsi="Arial" w:cs="Arial"/>
          <w:b/>
          <w:bCs/>
          <w:sz w:val="22"/>
          <w:szCs w:val="22"/>
        </w:rPr>
      </w:pPr>
      <w:r w:rsidRPr="00CD7450">
        <w:rPr>
          <w:rFonts w:ascii="Arial" w:hAnsi="Arial" w:cs="Arial"/>
          <w:noProof/>
          <w:sz w:val="22"/>
          <w:szCs w:val="22"/>
        </w:rPr>
        <mc:AlternateContent>
          <mc:Choice Requires="wps">
            <w:drawing>
              <wp:anchor distT="0" distB="0" distL="114300" distR="114300" simplePos="0" relativeHeight="251664384" behindDoc="0" locked="0" layoutInCell="1" allowOverlap="1" wp14:anchorId="11A97D06" wp14:editId="2E2E0F52">
                <wp:simplePos x="0" y="0"/>
                <wp:positionH relativeFrom="column">
                  <wp:posOffset>9525</wp:posOffset>
                </wp:positionH>
                <wp:positionV relativeFrom="paragraph">
                  <wp:posOffset>76835</wp:posOffset>
                </wp:positionV>
                <wp:extent cx="6858000" cy="38100"/>
                <wp:effectExtent l="57150" t="0" r="76200" b="133350"/>
                <wp:wrapNone/>
                <wp:docPr id="6" name="Straight Connector 6"/>
                <wp:cNvGraphicFramePr/>
                <a:graphic xmlns:a="http://schemas.openxmlformats.org/drawingml/2006/main">
                  <a:graphicData uri="http://schemas.microsoft.com/office/word/2010/wordprocessingShape">
                    <wps:wsp>
                      <wps:cNvCnPr/>
                      <wps:spPr>
                        <a:xfrm flipV="1">
                          <a:off x="0" y="0"/>
                          <a:ext cx="6858000" cy="38100"/>
                        </a:xfrm>
                        <a:prstGeom prst="line">
                          <a:avLst/>
                        </a:prstGeom>
                        <a:ln w="12700">
                          <a:solidFill>
                            <a:schemeClr val="tx1"/>
                          </a:solidFill>
                        </a:ln>
                        <a:effectLst>
                          <a:outerShdw blurRad="50800" dist="50800" dir="5400000" algn="ctr" rotWithShape="0">
                            <a:schemeClr val="tx1"/>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358F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6.05pt" to="54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" strokecolor="black [3213]" strokeweight="1pt">
                <v:stroke joinstyle="miter"/>
                <v:shadow on="t" color="black [3213]" offset="0,4pt"/>
              </v:line>
            </w:pict>
          </mc:Fallback>
        </mc:AlternateContent>
      </w:r>
    </w:p>
    <w:p w14:paraId="459FB896" w14:textId="77777777" w:rsidR="003356A0" w:rsidRPr="00CD7450" w:rsidRDefault="003356A0" w:rsidP="003356A0">
      <w:pPr>
        <w:rPr>
          <w:rFonts w:ascii="Arial" w:hAnsi="Arial" w:cs="Arial"/>
          <w:b/>
          <w:sz w:val="22"/>
          <w:szCs w:val="22"/>
        </w:rPr>
      </w:pPr>
    </w:p>
    <w:p w14:paraId="03F026C1" w14:textId="15D91FA5" w:rsidR="003356A0" w:rsidRPr="00CD7450" w:rsidRDefault="003356A0" w:rsidP="003356A0">
      <w:pPr>
        <w:rPr>
          <w:rFonts w:ascii="Arial" w:hAnsi="Arial" w:cs="Arial"/>
          <w:bCs/>
          <w:sz w:val="22"/>
          <w:szCs w:val="22"/>
          <w:u w:val="single"/>
        </w:rPr>
      </w:pPr>
      <w:r w:rsidRPr="00CD7450">
        <w:rPr>
          <w:rFonts w:ascii="Arial" w:hAnsi="Arial" w:cs="Arial"/>
          <w:bCs/>
          <w:sz w:val="22"/>
          <w:szCs w:val="22"/>
          <w:u w:val="single"/>
        </w:rPr>
        <w:t>Conditions for access and sharing including provisions for appropriate protection of privacy, confidentiality, security, intellectual property, or other rights or requirements.</w:t>
      </w:r>
    </w:p>
    <w:p w14:paraId="20CD9E28" w14:textId="77777777" w:rsidR="00CA1580" w:rsidRPr="00CD7450" w:rsidRDefault="00CA1580" w:rsidP="00416BF3">
      <w:pPr>
        <w:rPr>
          <w:rFonts w:ascii="Arial" w:hAnsi="Arial" w:cs="Arial"/>
          <w:color w:val="C45911" w:themeColor="accent2" w:themeShade="BF"/>
          <w:sz w:val="22"/>
          <w:szCs w:val="22"/>
        </w:rPr>
      </w:pPr>
    </w:p>
    <w:p w14:paraId="30402CA1" w14:textId="77777777" w:rsidR="002E25A7" w:rsidRPr="00CD7450" w:rsidRDefault="002E25A7" w:rsidP="002E25A7">
      <w:pPr>
        <w:rPr>
          <w:rFonts w:ascii="Arial" w:hAnsi="Arial" w:cs="Arial"/>
          <w:sz w:val="22"/>
          <w:szCs w:val="22"/>
        </w:rPr>
      </w:pPr>
      <w:r w:rsidRPr="00CD7450">
        <w:rPr>
          <w:rFonts w:ascii="Arial" w:hAnsi="Arial" w:cs="Arial"/>
          <w:sz w:val="22"/>
          <w:szCs w:val="22"/>
        </w:rPr>
        <w:t>Guidance on Ethics &amp; Privacy:</w:t>
      </w:r>
    </w:p>
    <w:p w14:paraId="28FCE971" w14:textId="77777777" w:rsidR="002E25A7" w:rsidRPr="00CD7450" w:rsidRDefault="002E25A7" w:rsidP="002E25A7">
      <w:pPr>
        <w:rPr>
          <w:rFonts w:ascii="Arial" w:hAnsi="Arial" w:cs="Arial"/>
          <w:sz w:val="22"/>
          <w:szCs w:val="22"/>
        </w:rPr>
      </w:pPr>
    </w:p>
    <w:p w14:paraId="09945C6F" w14:textId="77777777" w:rsidR="002E25A7" w:rsidRPr="00CD7450" w:rsidRDefault="002E25A7" w:rsidP="002E25A7">
      <w:pPr>
        <w:pStyle w:val="ListParagraph"/>
        <w:numPr>
          <w:ilvl w:val="0"/>
          <w:numId w:val="7"/>
        </w:numPr>
        <w:rPr>
          <w:rFonts w:ascii="Arial" w:hAnsi="Arial" w:cs="Arial"/>
          <w:sz w:val="22"/>
          <w:szCs w:val="22"/>
        </w:rPr>
      </w:pPr>
      <w:r w:rsidRPr="00CD7450">
        <w:rPr>
          <w:rFonts w:ascii="Arial" w:hAnsi="Arial" w:cs="Arial"/>
          <w:color w:val="333333"/>
          <w:sz w:val="22"/>
          <w:szCs w:val="22"/>
        </w:rPr>
        <w:t>Investigators carrying out research involving human participants should request consent to preserve and share the data. Do not just ask for permission to use the data in your study or make unnecessary promises to delete it at the end.</w:t>
      </w:r>
    </w:p>
    <w:p w14:paraId="1BAAD3A3" w14:textId="77777777" w:rsidR="002E25A7" w:rsidRPr="00CD7450" w:rsidRDefault="002E25A7" w:rsidP="002E25A7">
      <w:pPr>
        <w:pStyle w:val="ListParagraph"/>
        <w:numPr>
          <w:ilvl w:val="0"/>
          <w:numId w:val="7"/>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Consider how you will protect the identity of participants, e.g., via anonymization or using managed access procedures.</w:t>
      </w:r>
    </w:p>
    <w:p w14:paraId="0385C85E" w14:textId="77777777" w:rsidR="002E25A7" w:rsidRPr="00C24A68" w:rsidRDefault="002E25A7" w:rsidP="002E25A7">
      <w:pPr>
        <w:pStyle w:val="ListParagraph"/>
        <w:numPr>
          <w:ilvl w:val="0"/>
          <w:numId w:val="7"/>
        </w:numPr>
        <w:shd w:val="clear" w:color="auto" w:fill="FFFFFF"/>
        <w:overflowPunct w:val="0"/>
        <w:autoSpaceDE w:val="0"/>
        <w:autoSpaceDN w:val="0"/>
        <w:adjustRightInd w:val="0"/>
        <w:rPr>
          <w:rFonts w:ascii="Arial" w:hAnsi="Arial" w:cs="Arial"/>
          <w:color w:val="333333"/>
          <w:sz w:val="22"/>
          <w:szCs w:val="22"/>
        </w:rPr>
      </w:pPr>
      <w:r w:rsidRPr="00C24A68">
        <w:rPr>
          <w:rFonts w:ascii="Arial" w:hAnsi="Arial" w:cs="Arial"/>
          <w:color w:val="333333"/>
          <w:sz w:val="22"/>
          <w:szCs w:val="22"/>
        </w:rPr>
        <w:t>Ethical issues may affect how you store and transfer data, who can see/use it, and how long it is kept. You should demonstrate that you are aware of this and have planned accordingly.</w:t>
      </w:r>
    </w:p>
    <w:p w14:paraId="3E6481CF" w14:textId="77777777" w:rsidR="002E25A7" w:rsidRPr="00C24A68" w:rsidRDefault="002E25A7" w:rsidP="002E25A7">
      <w:pPr>
        <w:pStyle w:val="ListParagraph"/>
        <w:numPr>
          <w:ilvl w:val="0"/>
          <w:numId w:val="7"/>
        </w:numPr>
        <w:shd w:val="clear" w:color="auto" w:fill="FFFFFF"/>
        <w:overflowPunct w:val="0"/>
        <w:autoSpaceDE w:val="0"/>
        <w:autoSpaceDN w:val="0"/>
        <w:adjustRightInd w:val="0"/>
        <w:spacing w:after="280"/>
        <w:rPr>
          <w:rFonts w:ascii="Arial" w:hAnsi="Arial" w:cs="Arial"/>
          <w:color w:val="333333"/>
          <w:sz w:val="22"/>
          <w:szCs w:val="22"/>
        </w:rPr>
      </w:pPr>
      <w:r w:rsidRPr="00C24A68">
        <w:rPr>
          <w:rFonts w:ascii="Arial" w:hAnsi="Arial" w:cs="Arial"/>
          <w:color w:val="333333"/>
          <w:sz w:val="22"/>
          <w:szCs w:val="22"/>
        </w:rPr>
        <w:t>See </w:t>
      </w:r>
      <w:hyperlink r:id="rId9">
        <w:r w:rsidRPr="00C24A68">
          <w:rPr>
            <w:rFonts w:ascii="Arial" w:hAnsi="Arial" w:cs="Arial"/>
            <w:color w:val="ED7D31" w:themeColor="accent2"/>
            <w:sz w:val="22"/>
            <w:szCs w:val="22"/>
          </w:rPr>
          <w:t>ICPSR approach to confidentiality</w:t>
        </w:r>
      </w:hyperlink>
      <w:r w:rsidRPr="00C24A68">
        <w:rPr>
          <w:rFonts w:ascii="Arial" w:hAnsi="Arial" w:cs="Arial"/>
          <w:color w:val="ED7D31" w:themeColor="accent2"/>
          <w:sz w:val="22"/>
          <w:szCs w:val="22"/>
        </w:rPr>
        <w:t> </w:t>
      </w:r>
      <w:r w:rsidRPr="00C24A68">
        <w:rPr>
          <w:rFonts w:ascii="Arial" w:hAnsi="Arial" w:cs="Arial"/>
          <w:color w:val="333333"/>
          <w:sz w:val="22"/>
          <w:szCs w:val="22"/>
        </w:rPr>
        <w:t>and Health Insurance Portability and Accountability Act </w:t>
      </w:r>
      <w:hyperlink r:id="rId10">
        <w:r w:rsidRPr="00C24A68">
          <w:rPr>
            <w:rFonts w:ascii="Arial" w:hAnsi="Arial" w:cs="Arial"/>
            <w:color w:val="ED7D31" w:themeColor="accent2"/>
            <w:sz w:val="22"/>
            <w:szCs w:val="22"/>
          </w:rPr>
          <w:t>(HIPAA) regulations for health research</w:t>
        </w:r>
      </w:hyperlink>
      <w:r w:rsidRPr="00C24A68">
        <w:rPr>
          <w:rFonts w:ascii="Arial" w:hAnsi="Arial" w:cs="Arial"/>
          <w:color w:val="ED7D31" w:themeColor="accent2"/>
          <w:sz w:val="22"/>
          <w:szCs w:val="22"/>
        </w:rPr>
        <w:t>.</w:t>
      </w:r>
    </w:p>
    <w:p w14:paraId="30D4BCDD" w14:textId="77777777" w:rsidR="002E25A7" w:rsidRPr="00CD7450" w:rsidRDefault="002E25A7" w:rsidP="002E25A7">
      <w:pPr>
        <w:rPr>
          <w:rFonts w:ascii="Arial" w:hAnsi="Arial" w:cs="Arial"/>
          <w:sz w:val="22"/>
          <w:szCs w:val="22"/>
        </w:rPr>
      </w:pPr>
      <w:r w:rsidRPr="00CD7450">
        <w:rPr>
          <w:rFonts w:ascii="Arial" w:hAnsi="Arial" w:cs="Arial"/>
          <w:sz w:val="22"/>
          <w:szCs w:val="22"/>
        </w:rPr>
        <w:t xml:space="preserve">      Guidance about Intellectual Property Rights:</w:t>
      </w:r>
    </w:p>
    <w:p w14:paraId="6C5E3BE1" w14:textId="77777777" w:rsidR="002E25A7" w:rsidRPr="00CD7450" w:rsidRDefault="002E25A7" w:rsidP="002E25A7">
      <w:pPr>
        <w:numPr>
          <w:ilvl w:val="0"/>
          <w:numId w:val="8"/>
        </w:numPr>
        <w:shd w:val="clear" w:color="auto" w:fill="FFFFFF"/>
        <w:overflowPunct w:val="0"/>
        <w:autoSpaceDE w:val="0"/>
        <w:autoSpaceDN w:val="0"/>
        <w:adjustRightInd w:val="0"/>
        <w:spacing w:before="280"/>
        <w:rPr>
          <w:rFonts w:ascii="Arial" w:hAnsi="Arial" w:cs="Arial"/>
          <w:color w:val="333333"/>
          <w:sz w:val="22"/>
          <w:szCs w:val="22"/>
        </w:rPr>
      </w:pPr>
      <w:r w:rsidRPr="00CD7450">
        <w:rPr>
          <w:rFonts w:ascii="Arial" w:hAnsi="Arial" w:cs="Arial"/>
          <w:color w:val="333333"/>
          <w:sz w:val="22"/>
          <w:szCs w:val="22"/>
        </w:rPr>
        <w:t>State who will own the copyright and IPR of any existing data as well as new data that you will generate. For multi-partner projects, IPR ownership should be covered in the consortium agreement.</w:t>
      </w:r>
    </w:p>
    <w:p w14:paraId="762C1F85" w14:textId="77777777" w:rsidR="002E25A7" w:rsidRPr="00C24A68" w:rsidRDefault="002E25A7" w:rsidP="002E25A7">
      <w:pPr>
        <w:numPr>
          <w:ilvl w:val="0"/>
          <w:numId w:val="8"/>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 xml:space="preserve">Outline any restrictions needed on data sharing, e.g., </w:t>
      </w:r>
      <w:r w:rsidRPr="00C24A68">
        <w:rPr>
          <w:rFonts w:ascii="Arial" w:hAnsi="Arial" w:cs="Arial"/>
          <w:color w:val="333333"/>
          <w:sz w:val="22"/>
          <w:szCs w:val="22"/>
        </w:rPr>
        <w:t>to protect proprietary or patentable data.</w:t>
      </w:r>
    </w:p>
    <w:p w14:paraId="15C22A07" w14:textId="77777777" w:rsidR="002E25A7" w:rsidRPr="00C24A68" w:rsidRDefault="002E25A7" w:rsidP="002E25A7">
      <w:pPr>
        <w:numPr>
          <w:ilvl w:val="0"/>
          <w:numId w:val="8"/>
        </w:numPr>
        <w:shd w:val="clear" w:color="auto" w:fill="FFFFFF"/>
        <w:overflowPunct w:val="0"/>
        <w:autoSpaceDE w:val="0"/>
        <w:autoSpaceDN w:val="0"/>
        <w:adjustRightInd w:val="0"/>
        <w:spacing w:after="280"/>
        <w:rPr>
          <w:rFonts w:ascii="Arial" w:hAnsi="Arial" w:cs="Arial"/>
          <w:color w:val="333333"/>
          <w:sz w:val="22"/>
          <w:szCs w:val="22"/>
        </w:rPr>
      </w:pPr>
      <w:r w:rsidRPr="00C24A68">
        <w:rPr>
          <w:rFonts w:ascii="Arial" w:hAnsi="Arial" w:cs="Arial"/>
          <w:color w:val="333333"/>
          <w:sz w:val="22"/>
          <w:szCs w:val="22"/>
        </w:rPr>
        <w:t>Explain how the data will be licensed for reuse. See the DCC guide on </w:t>
      </w:r>
      <w:hyperlink r:id="rId11">
        <w:r w:rsidRPr="00C24A68">
          <w:rPr>
            <w:rFonts w:ascii="Arial" w:hAnsi="Arial" w:cs="Arial"/>
            <w:color w:val="ED7D31" w:themeColor="accent2"/>
            <w:sz w:val="22"/>
            <w:szCs w:val="22"/>
          </w:rPr>
          <w:t>How to license research data</w:t>
        </w:r>
      </w:hyperlink>
      <w:r w:rsidRPr="00C24A68">
        <w:rPr>
          <w:rFonts w:ascii="Arial" w:hAnsi="Arial" w:cs="Arial"/>
          <w:color w:val="333333"/>
          <w:sz w:val="22"/>
          <w:szCs w:val="22"/>
        </w:rPr>
        <w:t> and EUDAT’s </w:t>
      </w:r>
      <w:hyperlink r:id="rId12">
        <w:r w:rsidRPr="00C24A68">
          <w:rPr>
            <w:rFonts w:ascii="Arial" w:hAnsi="Arial" w:cs="Arial"/>
            <w:color w:val="ED7D31" w:themeColor="accent2"/>
            <w:sz w:val="22"/>
            <w:szCs w:val="22"/>
          </w:rPr>
          <w:t>data and software licensing wizard</w:t>
        </w:r>
      </w:hyperlink>
      <w:r w:rsidRPr="00C24A68">
        <w:rPr>
          <w:rFonts w:ascii="Arial" w:hAnsi="Arial" w:cs="Arial"/>
          <w:color w:val="333333"/>
          <w:sz w:val="22"/>
          <w:szCs w:val="22"/>
        </w:rPr>
        <w:t>.</w:t>
      </w:r>
    </w:p>
    <w:p w14:paraId="54D319FF" w14:textId="77777777" w:rsidR="002E25A7" w:rsidRPr="00CD7450" w:rsidRDefault="002E25A7" w:rsidP="002E25A7">
      <w:pPr>
        <w:ind w:firstLine="360"/>
        <w:rPr>
          <w:rFonts w:ascii="Arial" w:hAnsi="Arial" w:cs="Arial"/>
          <w:sz w:val="22"/>
          <w:szCs w:val="22"/>
        </w:rPr>
      </w:pPr>
      <w:r w:rsidRPr="00CD7450">
        <w:rPr>
          <w:rFonts w:ascii="Arial" w:hAnsi="Arial" w:cs="Arial"/>
          <w:sz w:val="22"/>
          <w:szCs w:val="22"/>
        </w:rPr>
        <w:t>Guidance about Storage &amp; Security:</w:t>
      </w:r>
    </w:p>
    <w:p w14:paraId="4199221B" w14:textId="77777777" w:rsidR="002E25A7" w:rsidRPr="00CD7450" w:rsidRDefault="002E25A7" w:rsidP="002E25A7">
      <w:pPr>
        <w:numPr>
          <w:ilvl w:val="0"/>
          <w:numId w:val="9"/>
        </w:numPr>
        <w:shd w:val="clear" w:color="auto" w:fill="FFFFFF"/>
        <w:overflowPunct w:val="0"/>
        <w:autoSpaceDE w:val="0"/>
        <w:autoSpaceDN w:val="0"/>
        <w:adjustRightInd w:val="0"/>
        <w:spacing w:before="280"/>
        <w:rPr>
          <w:rFonts w:ascii="Arial" w:hAnsi="Arial" w:cs="Arial"/>
          <w:color w:val="333333"/>
          <w:sz w:val="22"/>
          <w:szCs w:val="22"/>
        </w:rPr>
      </w:pPr>
      <w:r w:rsidRPr="00CD7450">
        <w:rPr>
          <w:rFonts w:ascii="Arial" w:hAnsi="Arial" w:cs="Arial"/>
          <w:color w:val="333333"/>
          <w:sz w:val="22"/>
          <w:szCs w:val="22"/>
        </w:rPr>
        <w:t>Describe where the data will be stored and backed up during the course of research activities. This may vary if you are doing fieldwork or working across multiple sites so explain each procedure.</w:t>
      </w:r>
    </w:p>
    <w:p w14:paraId="2ABE30D0" w14:textId="77777777" w:rsidR="002E25A7" w:rsidRPr="00CD7450" w:rsidRDefault="002E25A7" w:rsidP="002E25A7">
      <w:pPr>
        <w:numPr>
          <w:ilvl w:val="0"/>
          <w:numId w:val="9"/>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Identify who will be responsible for backup and how often this will be performed. The use of robust, managed storage with automatic backup, for example, that provided by university IT teams, is preferable. Storing data on laptops, computer hard drives, or external storage devices alone is very risky.</w:t>
      </w:r>
    </w:p>
    <w:p w14:paraId="5D636E95" w14:textId="77777777" w:rsidR="002E25A7" w:rsidRPr="00CD7450" w:rsidRDefault="002E25A7" w:rsidP="002E25A7">
      <w:pPr>
        <w:numPr>
          <w:ilvl w:val="0"/>
          <w:numId w:val="9"/>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See the </w:t>
      </w:r>
      <w:proofErr w:type="spellStart"/>
      <w:r w:rsidRPr="00CD7450">
        <w:rPr>
          <w:rFonts w:ascii="Arial" w:hAnsi="Arial" w:cs="Arial"/>
          <w:color w:val="333333"/>
          <w:sz w:val="22"/>
          <w:szCs w:val="22"/>
        </w:rPr>
        <w:t>DataONE</w:t>
      </w:r>
      <w:proofErr w:type="spellEnd"/>
      <w:r w:rsidRPr="00CD7450">
        <w:rPr>
          <w:rFonts w:ascii="Arial" w:hAnsi="Arial" w:cs="Arial"/>
          <w:color w:val="333333"/>
          <w:sz w:val="22"/>
          <w:szCs w:val="22"/>
        </w:rPr>
        <w:t xml:space="preserve"> Best Practices for </w:t>
      </w:r>
      <w:hyperlink r:id="rId13" w:history="1">
        <w:r w:rsidRPr="00CD7450">
          <w:rPr>
            <w:rStyle w:val="Hyperlink"/>
            <w:rFonts w:ascii="Arial" w:hAnsi="Arial" w:cs="Arial"/>
            <w:sz w:val="22"/>
            <w:szCs w:val="22"/>
          </w:rPr>
          <w:t>data backup policy</w:t>
        </w:r>
      </w:hyperlink>
      <w:r w:rsidRPr="00CD7450">
        <w:rPr>
          <w:rFonts w:ascii="Arial" w:hAnsi="Arial" w:cs="Arial"/>
          <w:color w:val="333333"/>
          <w:sz w:val="22"/>
          <w:szCs w:val="22"/>
        </w:rPr>
        <w:t>.</w:t>
      </w:r>
    </w:p>
    <w:p w14:paraId="4A962DDC" w14:textId="77777777" w:rsidR="002E25A7" w:rsidRPr="00CD7450" w:rsidRDefault="002E25A7" w:rsidP="002E25A7">
      <w:pPr>
        <w:numPr>
          <w:ilvl w:val="0"/>
          <w:numId w:val="9"/>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Also consider data security, particularly if your data is sensitive e.g., detailed personal data, politically sensitive information or trade secrets. Note the main risks and how these will be managed. Also note whether any institutional data security policies are in place.</w:t>
      </w:r>
    </w:p>
    <w:p w14:paraId="7E6A21B1" w14:textId="77777777" w:rsidR="002E25A7" w:rsidRPr="00CD7450" w:rsidRDefault="002E25A7" w:rsidP="002E25A7">
      <w:pPr>
        <w:numPr>
          <w:ilvl w:val="0"/>
          <w:numId w:val="9"/>
        </w:numPr>
        <w:shd w:val="clear" w:color="auto" w:fill="FFFFFF"/>
        <w:overflowPunct w:val="0"/>
        <w:autoSpaceDE w:val="0"/>
        <w:autoSpaceDN w:val="0"/>
        <w:adjustRightInd w:val="0"/>
        <w:spacing w:after="280"/>
        <w:rPr>
          <w:rFonts w:ascii="Arial" w:hAnsi="Arial" w:cs="Arial"/>
          <w:color w:val="333333"/>
          <w:sz w:val="22"/>
          <w:szCs w:val="22"/>
        </w:rPr>
      </w:pPr>
      <w:r w:rsidRPr="00CD7450">
        <w:rPr>
          <w:rFonts w:ascii="Arial" w:hAnsi="Arial" w:cs="Arial"/>
          <w:color w:val="333333"/>
          <w:sz w:val="22"/>
          <w:szCs w:val="22"/>
        </w:rPr>
        <w:t>Identify any formal standards that you will comply with, e.g., ISO 27001. See the DCC Briefing Paper on Information Security Management - </w:t>
      </w:r>
      <w:hyperlink r:id="rId14">
        <w:r w:rsidRPr="00C251B5">
          <w:rPr>
            <w:rFonts w:ascii="Arial" w:hAnsi="Arial" w:cs="Arial"/>
            <w:color w:val="ED7D31" w:themeColor="accent2"/>
            <w:sz w:val="22"/>
            <w:szCs w:val="22"/>
          </w:rPr>
          <w:t>ISO 27000</w:t>
        </w:r>
      </w:hyperlink>
      <w:r w:rsidRPr="00CD7450">
        <w:rPr>
          <w:rFonts w:ascii="Arial" w:hAnsi="Arial" w:cs="Arial"/>
          <w:color w:val="333333"/>
          <w:sz w:val="22"/>
          <w:szCs w:val="22"/>
        </w:rPr>
        <w:t> and UK Data Service guidance on </w:t>
      </w:r>
      <w:hyperlink r:id="rId15">
        <w:r w:rsidRPr="00951A51">
          <w:rPr>
            <w:rFonts w:ascii="Arial" w:hAnsi="Arial" w:cs="Arial"/>
            <w:color w:val="ED7D31" w:themeColor="accent2"/>
            <w:sz w:val="22"/>
            <w:szCs w:val="22"/>
          </w:rPr>
          <w:t>data security</w:t>
        </w:r>
      </w:hyperlink>
      <w:r w:rsidRPr="00CD7450">
        <w:rPr>
          <w:rFonts w:ascii="Arial" w:hAnsi="Arial" w:cs="Arial"/>
          <w:color w:val="333333"/>
          <w:sz w:val="22"/>
          <w:szCs w:val="22"/>
        </w:rPr>
        <w:t>.</w:t>
      </w:r>
    </w:p>
    <w:p w14:paraId="489B7C29" w14:textId="77777777" w:rsidR="002E25A7" w:rsidRPr="00CD7450" w:rsidRDefault="002E25A7" w:rsidP="002E25A7">
      <w:pPr>
        <w:ind w:firstLine="360"/>
        <w:rPr>
          <w:rFonts w:ascii="Arial" w:hAnsi="Arial" w:cs="Arial"/>
          <w:sz w:val="22"/>
          <w:szCs w:val="22"/>
        </w:rPr>
      </w:pPr>
      <w:r w:rsidRPr="00CD7450">
        <w:rPr>
          <w:rFonts w:ascii="Arial" w:hAnsi="Arial" w:cs="Arial"/>
          <w:sz w:val="22"/>
          <w:szCs w:val="22"/>
        </w:rPr>
        <w:t>Guidance about Data Sharing:</w:t>
      </w:r>
    </w:p>
    <w:p w14:paraId="0FF70A4A" w14:textId="77777777" w:rsidR="002E25A7" w:rsidRPr="00CD7450" w:rsidRDefault="002E25A7" w:rsidP="002E25A7">
      <w:pPr>
        <w:numPr>
          <w:ilvl w:val="0"/>
          <w:numId w:val="10"/>
        </w:numPr>
        <w:shd w:val="clear" w:color="auto" w:fill="FFFFFF"/>
        <w:overflowPunct w:val="0"/>
        <w:autoSpaceDE w:val="0"/>
        <w:autoSpaceDN w:val="0"/>
        <w:adjustRightInd w:val="0"/>
        <w:spacing w:before="280"/>
        <w:rPr>
          <w:rFonts w:ascii="Arial" w:hAnsi="Arial" w:cs="Arial"/>
          <w:color w:val="333333"/>
          <w:sz w:val="22"/>
          <w:szCs w:val="22"/>
        </w:rPr>
      </w:pPr>
      <w:r w:rsidRPr="00CD7450">
        <w:rPr>
          <w:rFonts w:ascii="Arial" w:hAnsi="Arial" w:cs="Arial"/>
          <w:color w:val="333333"/>
          <w:sz w:val="22"/>
          <w:szCs w:val="22"/>
        </w:rPr>
        <w:t>How will you share the data, e.g., deposit in a data repository, use a secure data service, handle data requests directly, or use another mechanism? The methods used will depend on a number of factors such as the type, size, complexity, and sensitivity of the data.</w:t>
      </w:r>
    </w:p>
    <w:p w14:paraId="135260BF" w14:textId="77777777" w:rsidR="002E25A7" w:rsidRPr="00CD7450" w:rsidRDefault="002E25A7" w:rsidP="002E25A7">
      <w:pPr>
        <w:numPr>
          <w:ilvl w:val="0"/>
          <w:numId w:val="10"/>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When will you make the data available? Research funders expect timely release. They typically allow embargoes but not prolonged exclusive use.</w:t>
      </w:r>
    </w:p>
    <w:p w14:paraId="5A564B23" w14:textId="77777777" w:rsidR="002E25A7" w:rsidRPr="00CD7450" w:rsidRDefault="002E25A7" w:rsidP="002E25A7">
      <w:pPr>
        <w:numPr>
          <w:ilvl w:val="0"/>
          <w:numId w:val="10"/>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Who will be able to use your data? If you need to restrict access to certain communities or apply data sharing agreements, explain why.</w:t>
      </w:r>
    </w:p>
    <w:p w14:paraId="3B8D700E" w14:textId="77777777" w:rsidR="002E25A7" w:rsidRPr="00CD7450" w:rsidRDefault="002E25A7" w:rsidP="002E25A7">
      <w:pPr>
        <w:numPr>
          <w:ilvl w:val="0"/>
          <w:numId w:val="10"/>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lastRenderedPageBreak/>
        <w:t>Consider strategies to minimize restrictions on sharing. These may include anonymizing or aggregating data, gaining participant consent for data sharing, gaining copyright permissions, and agreeing a limited embargo period.</w:t>
      </w:r>
    </w:p>
    <w:p w14:paraId="3C10A9F8" w14:textId="77777777" w:rsidR="002E25A7" w:rsidRPr="00CD7450" w:rsidRDefault="002E25A7" w:rsidP="002E25A7">
      <w:pPr>
        <w:numPr>
          <w:ilvl w:val="0"/>
          <w:numId w:val="10"/>
        </w:numPr>
        <w:shd w:val="clear" w:color="auto" w:fill="FFFFFF"/>
        <w:overflowPunct w:val="0"/>
        <w:autoSpaceDE w:val="0"/>
        <w:autoSpaceDN w:val="0"/>
        <w:adjustRightInd w:val="0"/>
        <w:spacing w:after="280"/>
        <w:rPr>
          <w:rFonts w:ascii="Arial" w:hAnsi="Arial" w:cs="Arial"/>
          <w:color w:val="333333"/>
          <w:sz w:val="22"/>
          <w:szCs w:val="22"/>
        </w:rPr>
      </w:pPr>
      <w:r w:rsidRPr="00CD7450">
        <w:rPr>
          <w:rFonts w:ascii="Arial" w:hAnsi="Arial" w:cs="Arial"/>
          <w:color w:val="333333"/>
          <w:sz w:val="22"/>
          <w:szCs w:val="22"/>
        </w:rPr>
        <w:t>How might your data be reused in other contexts? Where there is potential for reuse, you should use standards and formats that facilitate this, and ensure that appropriate metadata is available online so your data can be discovered. Persistent identifiers should be applied so people can reliably and efficiently find your data. They also help you to track citations and reuse.</w:t>
      </w:r>
    </w:p>
    <w:p w14:paraId="05D636A9" w14:textId="690FF290" w:rsidR="002E6A37" w:rsidRPr="00CD7450" w:rsidRDefault="002E6A37" w:rsidP="002E6A37">
      <w:pPr>
        <w:rPr>
          <w:rFonts w:ascii="Arial" w:hAnsi="Arial" w:cs="Arial"/>
          <w:b/>
          <w:bCs/>
          <w:sz w:val="22"/>
          <w:szCs w:val="22"/>
        </w:rPr>
      </w:pPr>
      <w:r w:rsidRPr="00CD7450">
        <w:rPr>
          <w:rFonts w:ascii="Arial" w:hAnsi="Arial" w:cs="Arial"/>
          <w:b/>
          <w:bCs/>
          <w:sz w:val="22"/>
          <w:szCs w:val="22"/>
        </w:rPr>
        <w:t xml:space="preserve">Conditions </w:t>
      </w:r>
      <w:r w:rsidR="00FD7883" w:rsidRPr="00CD7450">
        <w:rPr>
          <w:rFonts w:ascii="Arial" w:hAnsi="Arial" w:cs="Arial"/>
          <w:b/>
          <w:bCs/>
          <w:sz w:val="22"/>
          <w:szCs w:val="22"/>
        </w:rPr>
        <w:t xml:space="preserve">and provisions for reuse, redistribution, and </w:t>
      </w:r>
      <w:r w:rsidR="00514FE1" w:rsidRPr="00CD7450">
        <w:rPr>
          <w:rFonts w:ascii="Arial" w:hAnsi="Arial" w:cs="Arial"/>
          <w:b/>
          <w:bCs/>
          <w:sz w:val="22"/>
          <w:szCs w:val="22"/>
        </w:rPr>
        <w:t>derivatives</w:t>
      </w:r>
    </w:p>
    <w:p w14:paraId="05FBB223" w14:textId="37E1474A" w:rsidR="002E6A37" w:rsidRPr="00CD7450" w:rsidRDefault="002E6A37" w:rsidP="002E6A37">
      <w:pPr>
        <w:ind w:left="360"/>
        <w:rPr>
          <w:rFonts w:ascii="Arial" w:hAnsi="Arial" w:cs="Arial"/>
          <w:b/>
          <w:bCs/>
          <w:sz w:val="22"/>
          <w:szCs w:val="22"/>
        </w:rPr>
      </w:pPr>
      <w:r w:rsidRPr="00CD7450">
        <w:rPr>
          <w:rFonts w:ascii="Arial" w:hAnsi="Arial" w:cs="Arial"/>
          <w:noProof/>
          <w:sz w:val="22"/>
          <w:szCs w:val="22"/>
        </w:rPr>
        <mc:AlternateContent>
          <mc:Choice Requires="wps">
            <w:drawing>
              <wp:anchor distT="0" distB="0" distL="114300" distR="114300" simplePos="0" relativeHeight="251666432" behindDoc="0" locked="0" layoutInCell="1" allowOverlap="1" wp14:anchorId="23ED99CB" wp14:editId="39E20807">
                <wp:simplePos x="0" y="0"/>
                <wp:positionH relativeFrom="margin">
                  <wp:align>center</wp:align>
                </wp:positionH>
                <wp:positionV relativeFrom="paragraph">
                  <wp:posOffset>75920</wp:posOffset>
                </wp:positionV>
                <wp:extent cx="6858000" cy="38100"/>
                <wp:effectExtent l="57150" t="0" r="76200" b="133350"/>
                <wp:wrapNone/>
                <wp:docPr id="7" name="Straight Connector 7"/>
                <wp:cNvGraphicFramePr/>
                <a:graphic xmlns:a="http://schemas.openxmlformats.org/drawingml/2006/main">
                  <a:graphicData uri="http://schemas.microsoft.com/office/word/2010/wordprocessingShape">
                    <wps:wsp>
                      <wps:cNvCnPr/>
                      <wps:spPr>
                        <a:xfrm flipV="1">
                          <a:off x="0" y="0"/>
                          <a:ext cx="6858000" cy="38100"/>
                        </a:xfrm>
                        <a:prstGeom prst="line">
                          <a:avLst/>
                        </a:prstGeom>
                        <a:ln w="12700">
                          <a:solidFill>
                            <a:schemeClr val="tx1"/>
                          </a:solidFill>
                        </a:ln>
                        <a:effectLst>
                          <a:outerShdw blurRad="50800" dist="50800" dir="5400000" algn="ctr" rotWithShape="0">
                            <a:schemeClr val="tx1"/>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5F897D" id="Straight Connector 7" o:spid="_x0000_s1026" style="position:absolute;flip:y;z-index:251666432;visibility:visible;mso-wrap-style:square;mso-wrap-distance-left:9pt;mso-wrap-distance-top:0;mso-wrap-distance-right:9pt;mso-wrap-distance-bottom:0;mso-position-horizontal:center;mso-position-horizontal-relative:margin;mso-position-vertical:absolute;mso-position-vertical-relative:text" from="0,6pt" to="54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" strokecolor="black [3213]" strokeweight="1pt">
                <v:stroke joinstyle="miter"/>
                <v:shadow on="t" color="black [3213]" offset="0,4pt"/>
                <w10:wrap anchorx="margin"/>
              </v:line>
            </w:pict>
          </mc:Fallback>
        </mc:AlternateContent>
      </w:r>
    </w:p>
    <w:p w14:paraId="104525F9" w14:textId="7D72CAF6" w:rsidR="003356A0" w:rsidRPr="00CD7450" w:rsidRDefault="003356A0" w:rsidP="00416BF3">
      <w:pPr>
        <w:rPr>
          <w:rFonts w:ascii="Arial" w:hAnsi="Arial" w:cs="Arial"/>
          <w:color w:val="C45911" w:themeColor="accent2" w:themeShade="BF"/>
          <w:sz w:val="22"/>
          <w:szCs w:val="22"/>
        </w:rPr>
      </w:pPr>
    </w:p>
    <w:p w14:paraId="37BA3930" w14:textId="77777777" w:rsidR="00D13640" w:rsidRPr="00CD7450" w:rsidRDefault="00D13640" w:rsidP="00D13640">
      <w:pPr>
        <w:rPr>
          <w:rFonts w:ascii="Arial" w:hAnsi="Arial" w:cs="Arial"/>
          <w:bCs/>
          <w:sz w:val="22"/>
          <w:szCs w:val="22"/>
          <w:u w:val="single"/>
        </w:rPr>
      </w:pPr>
      <w:r w:rsidRPr="00CD7450">
        <w:rPr>
          <w:rFonts w:ascii="Arial" w:hAnsi="Arial" w:cs="Arial"/>
          <w:bCs/>
          <w:sz w:val="22"/>
          <w:szCs w:val="22"/>
          <w:u w:val="single"/>
        </w:rPr>
        <w:t>Conditions and provisions for reuse, redistribution, and the creation of derivative works.</w:t>
      </w:r>
    </w:p>
    <w:p w14:paraId="6864904E" w14:textId="77777777" w:rsidR="00514FE1" w:rsidRPr="00CD7450" w:rsidRDefault="00514FE1" w:rsidP="00416BF3">
      <w:pPr>
        <w:rPr>
          <w:rFonts w:ascii="Arial" w:hAnsi="Arial" w:cs="Arial"/>
          <w:color w:val="C45911" w:themeColor="accent2" w:themeShade="BF"/>
          <w:sz w:val="22"/>
          <w:szCs w:val="22"/>
        </w:rPr>
      </w:pPr>
    </w:p>
    <w:p w14:paraId="68F1B065" w14:textId="08FEDB3F" w:rsidR="00BD2E52" w:rsidRPr="00CD7450" w:rsidRDefault="00BD2E52" w:rsidP="00BD2E52">
      <w:pPr>
        <w:rPr>
          <w:rFonts w:ascii="Arial" w:hAnsi="Arial" w:cs="Arial"/>
          <w:sz w:val="22"/>
          <w:szCs w:val="22"/>
        </w:rPr>
      </w:pPr>
      <w:r w:rsidRPr="00CD7450">
        <w:rPr>
          <w:rFonts w:ascii="Arial" w:hAnsi="Arial" w:cs="Arial"/>
          <w:sz w:val="22"/>
          <w:szCs w:val="22"/>
        </w:rPr>
        <w:t>Guidance above for ‘access &amp; sharing’ is also applicable to this section. Additionally:</w:t>
      </w:r>
    </w:p>
    <w:p w14:paraId="1B0907BB" w14:textId="77777777" w:rsidR="00BD2E52" w:rsidRPr="00CD7450" w:rsidRDefault="00BD2E52" w:rsidP="00BD2E52">
      <w:pPr>
        <w:rPr>
          <w:rFonts w:ascii="Arial" w:hAnsi="Arial" w:cs="Arial"/>
          <w:sz w:val="22"/>
          <w:szCs w:val="22"/>
        </w:rPr>
      </w:pPr>
    </w:p>
    <w:p w14:paraId="447A6022" w14:textId="77777777" w:rsidR="00BD2E52" w:rsidRPr="00CD7450" w:rsidRDefault="00BD2E52" w:rsidP="00BD2E52">
      <w:pPr>
        <w:numPr>
          <w:ilvl w:val="0"/>
          <w:numId w:val="10"/>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Consider whether there are any existing procedures that you can base your approach on. If your group/department has local guidelines that you work to, point to them here.</w:t>
      </w:r>
    </w:p>
    <w:p w14:paraId="25C6D1F8" w14:textId="77777777" w:rsidR="00BD2E52" w:rsidRPr="00CD7450" w:rsidRDefault="00BD2E52" w:rsidP="00BD2E52">
      <w:pPr>
        <w:numPr>
          <w:ilvl w:val="0"/>
          <w:numId w:val="10"/>
        </w:numPr>
        <w:shd w:val="clear" w:color="auto" w:fill="FFFFFF"/>
        <w:overflowPunct w:val="0"/>
        <w:autoSpaceDE w:val="0"/>
        <w:autoSpaceDN w:val="0"/>
        <w:adjustRightInd w:val="0"/>
        <w:rPr>
          <w:rFonts w:ascii="Arial" w:hAnsi="Arial" w:cs="Arial"/>
          <w:color w:val="333333"/>
          <w:sz w:val="22"/>
          <w:szCs w:val="22"/>
        </w:rPr>
      </w:pPr>
      <w:r w:rsidRPr="00CD7450">
        <w:rPr>
          <w:rFonts w:ascii="Arial" w:hAnsi="Arial" w:cs="Arial"/>
          <w:color w:val="333333"/>
          <w:sz w:val="22"/>
          <w:szCs w:val="22"/>
        </w:rPr>
        <w:t>List any other relevant funder, institutional, departmental, or group policies on data management, data sharing, and data security.</w:t>
      </w:r>
    </w:p>
    <w:p w14:paraId="4B2BE397" w14:textId="77777777" w:rsidR="00B57BCE" w:rsidRPr="00CD7450" w:rsidRDefault="00B57BCE" w:rsidP="00B57BCE">
      <w:pPr>
        <w:shd w:val="clear" w:color="auto" w:fill="FFFFFF"/>
        <w:overflowPunct w:val="0"/>
        <w:autoSpaceDE w:val="0"/>
        <w:autoSpaceDN w:val="0"/>
        <w:adjustRightInd w:val="0"/>
        <w:rPr>
          <w:rFonts w:ascii="Arial" w:hAnsi="Arial" w:cs="Arial"/>
          <w:color w:val="333333"/>
          <w:sz w:val="22"/>
          <w:szCs w:val="22"/>
        </w:rPr>
      </w:pPr>
    </w:p>
    <w:p w14:paraId="7CCBA746" w14:textId="4B9183C5" w:rsidR="00B2603E" w:rsidRPr="00CD7450" w:rsidRDefault="00B2603E" w:rsidP="00B2603E">
      <w:pPr>
        <w:rPr>
          <w:rFonts w:ascii="Arial" w:hAnsi="Arial" w:cs="Arial"/>
          <w:b/>
          <w:bCs/>
          <w:sz w:val="22"/>
          <w:szCs w:val="22"/>
        </w:rPr>
      </w:pPr>
      <w:r w:rsidRPr="00CD7450">
        <w:rPr>
          <w:rFonts w:ascii="Arial" w:hAnsi="Arial" w:cs="Arial"/>
          <w:b/>
          <w:bCs/>
          <w:sz w:val="22"/>
          <w:szCs w:val="22"/>
        </w:rPr>
        <w:t>Plans for archiving and preservation</w:t>
      </w:r>
    </w:p>
    <w:p w14:paraId="2BDD354C" w14:textId="77777777" w:rsidR="00B2603E" w:rsidRPr="00CD7450" w:rsidRDefault="00B2603E" w:rsidP="00B2603E">
      <w:pPr>
        <w:ind w:left="360"/>
        <w:rPr>
          <w:rFonts w:ascii="Arial" w:hAnsi="Arial" w:cs="Arial"/>
          <w:b/>
          <w:bCs/>
          <w:sz w:val="22"/>
          <w:szCs w:val="22"/>
        </w:rPr>
      </w:pPr>
      <w:r w:rsidRPr="00CD7450">
        <w:rPr>
          <w:rFonts w:ascii="Arial" w:hAnsi="Arial" w:cs="Arial"/>
          <w:noProof/>
          <w:sz w:val="22"/>
          <w:szCs w:val="22"/>
        </w:rPr>
        <mc:AlternateContent>
          <mc:Choice Requires="wps">
            <w:drawing>
              <wp:anchor distT="0" distB="0" distL="114300" distR="114300" simplePos="0" relativeHeight="251668480" behindDoc="0" locked="0" layoutInCell="1" allowOverlap="1" wp14:anchorId="60526AAA" wp14:editId="54D2F597">
                <wp:simplePos x="0" y="0"/>
                <wp:positionH relativeFrom="margin">
                  <wp:align>center</wp:align>
                </wp:positionH>
                <wp:positionV relativeFrom="paragraph">
                  <wp:posOffset>75920</wp:posOffset>
                </wp:positionV>
                <wp:extent cx="6858000" cy="38100"/>
                <wp:effectExtent l="57150" t="0" r="76200" b="133350"/>
                <wp:wrapNone/>
                <wp:docPr id="8" name="Straight Connector 8"/>
                <wp:cNvGraphicFramePr/>
                <a:graphic xmlns:a="http://schemas.openxmlformats.org/drawingml/2006/main">
                  <a:graphicData uri="http://schemas.microsoft.com/office/word/2010/wordprocessingShape">
                    <wps:wsp>
                      <wps:cNvCnPr/>
                      <wps:spPr>
                        <a:xfrm flipV="1">
                          <a:off x="0" y="0"/>
                          <a:ext cx="6858000" cy="38100"/>
                        </a:xfrm>
                        <a:prstGeom prst="line">
                          <a:avLst/>
                        </a:prstGeom>
                        <a:ln w="12700">
                          <a:solidFill>
                            <a:schemeClr val="tx1"/>
                          </a:solidFill>
                        </a:ln>
                        <a:effectLst>
                          <a:outerShdw blurRad="50800" dist="50800" dir="5400000" algn="ctr" rotWithShape="0">
                            <a:schemeClr val="tx1"/>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1F6AAA" id="Straight Connector 8" o:spid="_x0000_s1026" style="position:absolute;flip:y;z-index:251668480;visibility:visible;mso-wrap-style:square;mso-wrap-distance-left:9pt;mso-wrap-distance-top:0;mso-wrap-distance-right:9pt;mso-wrap-distance-bottom:0;mso-position-horizontal:center;mso-position-horizontal-relative:margin;mso-position-vertical:absolute;mso-position-vertical-relative:text" from="0,6pt" to="54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" strokecolor="black [3213]" strokeweight="1pt">
                <v:stroke joinstyle="miter"/>
                <v:shadow on="t" color="black [3213]" offset="0,4pt"/>
                <w10:wrap anchorx="margin"/>
              </v:line>
            </w:pict>
          </mc:Fallback>
        </mc:AlternateContent>
      </w:r>
    </w:p>
    <w:p w14:paraId="048C2755" w14:textId="77777777" w:rsidR="00B57BCE" w:rsidRPr="00CD7450" w:rsidRDefault="00B57BCE" w:rsidP="00B57BCE">
      <w:pPr>
        <w:shd w:val="clear" w:color="auto" w:fill="FFFFFF"/>
        <w:overflowPunct w:val="0"/>
        <w:autoSpaceDE w:val="0"/>
        <w:autoSpaceDN w:val="0"/>
        <w:adjustRightInd w:val="0"/>
        <w:rPr>
          <w:rFonts w:ascii="Arial" w:hAnsi="Arial" w:cs="Arial"/>
          <w:color w:val="333333"/>
          <w:sz w:val="22"/>
          <w:szCs w:val="22"/>
        </w:rPr>
      </w:pPr>
    </w:p>
    <w:p w14:paraId="64254BA8" w14:textId="571EF6CF" w:rsidR="00057112" w:rsidRPr="00CD7450" w:rsidRDefault="00057112" w:rsidP="00057112">
      <w:pPr>
        <w:rPr>
          <w:rFonts w:ascii="Arial" w:hAnsi="Arial" w:cs="Arial"/>
          <w:bCs/>
          <w:sz w:val="22"/>
          <w:szCs w:val="22"/>
          <w:u w:val="single"/>
        </w:rPr>
      </w:pPr>
      <w:r w:rsidRPr="00CD7450">
        <w:rPr>
          <w:rFonts w:ascii="Arial" w:hAnsi="Arial" w:cs="Arial"/>
          <w:bCs/>
          <w:sz w:val="22"/>
          <w:szCs w:val="22"/>
          <w:u w:val="single"/>
        </w:rPr>
        <w:t>Plans for archiving datasets, or data samples, and other digitally formatted scientific data, and for preservation of access thereto. Explicitly describe how the data that underlies scientific publications will be available for discovery, retrieval, and analysis. In accordance with OSTP Memorandum, digitally formatted scientific data resulting from unclassified, publicly releasable research supported wholly or in part by DoD funding should be stored and publicly accessible to search, retrieve, and analyze to the extent feasible and consistent with applicable law and policy; agency mission; resource constraints; and U.S. national, homeland, and economic security.</w:t>
      </w:r>
    </w:p>
    <w:p w14:paraId="4DC2AF3D" w14:textId="77777777" w:rsidR="00057112" w:rsidRPr="00CD7450" w:rsidRDefault="00057112" w:rsidP="00057112">
      <w:pPr>
        <w:rPr>
          <w:rFonts w:ascii="Arial" w:hAnsi="Arial" w:cs="Arial"/>
          <w:bCs/>
          <w:sz w:val="22"/>
          <w:szCs w:val="22"/>
          <w:u w:val="single"/>
        </w:rPr>
      </w:pPr>
    </w:p>
    <w:p w14:paraId="7C8A9838" w14:textId="3E4F15D4" w:rsidR="00C97850" w:rsidRPr="00CD7450" w:rsidRDefault="00C97850" w:rsidP="00C97850">
      <w:pPr>
        <w:rPr>
          <w:rFonts w:ascii="Arial" w:hAnsi="Arial" w:cs="Arial"/>
          <w:sz w:val="22"/>
          <w:szCs w:val="22"/>
        </w:rPr>
      </w:pPr>
      <w:r w:rsidRPr="00CD7450">
        <w:rPr>
          <w:rFonts w:ascii="Arial" w:hAnsi="Arial" w:cs="Arial"/>
          <w:sz w:val="22"/>
          <w:szCs w:val="22"/>
        </w:rPr>
        <w:t>Consider Storage &amp; Security guidance from ‘access and sharing’ above.</w:t>
      </w:r>
    </w:p>
    <w:p w14:paraId="6BFE8790" w14:textId="77777777" w:rsidR="00C97850" w:rsidRPr="00CD7450" w:rsidRDefault="00C97850" w:rsidP="00C97850">
      <w:pPr>
        <w:rPr>
          <w:rFonts w:ascii="Arial" w:hAnsi="Arial" w:cs="Arial"/>
          <w:sz w:val="22"/>
          <w:szCs w:val="22"/>
        </w:rPr>
      </w:pPr>
    </w:p>
    <w:p w14:paraId="1EA39CD2" w14:textId="77777777" w:rsidR="00C97850" w:rsidRPr="00CD7450" w:rsidRDefault="00C97850" w:rsidP="00C97850">
      <w:pPr>
        <w:rPr>
          <w:rFonts w:ascii="Arial" w:hAnsi="Arial" w:cs="Arial"/>
          <w:sz w:val="22"/>
          <w:szCs w:val="22"/>
        </w:rPr>
      </w:pPr>
      <w:r w:rsidRPr="00CD7450">
        <w:rPr>
          <w:rFonts w:ascii="Arial" w:hAnsi="Arial" w:cs="Arial"/>
          <w:sz w:val="22"/>
          <w:szCs w:val="22"/>
        </w:rPr>
        <w:t xml:space="preserve">Data repository: </w:t>
      </w:r>
    </w:p>
    <w:p w14:paraId="05C3E15C" w14:textId="77777777" w:rsidR="00C97850" w:rsidRPr="00CD7450" w:rsidRDefault="00C97850" w:rsidP="00C97850">
      <w:pPr>
        <w:rPr>
          <w:rFonts w:ascii="Arial" w:hAnsi="Arial" w:cs="Arial"/>
          <w:sz w:val="22"/>
          <w:szCs w:val="22"/>
        </w:rPr>
      </w:pPr>
    </w:p>
    <w:p w14:paraId="46A93B52" w14:textId="77777777" w:rsidR="00C97850" w:rsidRPr="00CD7450" w:rsidRDefault="00C97850" w:rsidP="00C97850">
      <w:pPr>
        <w:numPr>
          <w:ilvl w:val="0"/>
          <w:numId w:val="11"/>
        </w:numPr>
        <w:overflowPunct w:val="0"/>
        <w:autoSpaceDE w:val="0"/>
        <w:autoSpaceDN w:val="0"/>
        <w:adjustRightInd w:val="0"/>
        <w:rPr>
          <w:rFonts w:ascii="Arial" w:hAnsi="Arial" w:cs="Arial"/>
          <w:sz w:val="22"/>
          <w:szCs w:val="22"/>
        </w:rPr>
      </w:pPr>
      <w:r w:rsidRPr="00CD7450">
        <w:rPr>
          <w:rFonts w:ascii="Arial" w:hAnsi="Arial" w:cs="Arial"/>
          <w:sz w:val="22"/>
          <w:szCs w:val="22"/>
        </w:rPr>
        <w:t>Where will the data be deposited? If you do not propose to use an established repository, the data management plan should demonstrate that the data can be curated effectively beyond the lifetime of the grant.</w:t>
      </w:r>
    </w:p>
    <w:p w14:paraId="65559BC4" w14:textId="77777777" w:rsidR="00C97850" w:rsidRPr="00CD7450" w:rsidRDefault="00C97850" w:rsidP="00C97850">
      <w:pPr>
        <w:numPr>
          <w:ilvl w:val="0"/>
          <w:numId w:val="11"/>
        </w:numPr>
        <w:overflowPunct w:val="0"/>
        <w:autoSpaceDE w:val="0"/>
        <w:autoSpaceDN w:val="0"/>
        <w:adjustRightInd w:val="0"/>
        <w:rPr>
          <w:rFonts w:ascii="Arial" w:hAnsi="Arial" w:cs="Arial"/>
          <w:sz w:val="22"/>
          <w:szCs w:val="22"/>
        </w:rPr>
      </w:pPr>
      <w:r w:rsidRPr="00CD7450">
        <w:rPr>
          <w:rFonts w:ascii="Arial" w:hAnsi="Arial" w:cs="Arial"/>
          <w:sz w:val="22"/>
          <w:szCs w:val="22"/>
        </w:rPr>
        <w:t>It helps to show that you have consulted with the repository to understand their policies and procedures, including any metadata standards, and costs involved.</w:t>
      </w:r>
    </w:p>
    <w:p w14:paraId="2045AC62" w14:textId="77777777" w:rsidR="00C97850" w:rsidRPr="00CD7450" w:rsidRDefault="00C97850" w:rsidP="00C97850">
      <w:pPr>
        <w:numPr>
          <w:ilvl w:val="0"/>
          <w:numId w:val="11"/>
        </w:numPr>
        <w:overflowPunct w:val="0"/>
        <w:autoSpaceDE w:val="0"/>
        <w:autoSpaceDN w:val="0"/>
        <w:adjustRightInd w:val="0"/>
        <w:rPr>
          <w:rFonts w:ascii="Arial" w:hAnsi="Arial" w:cs="Arial"/>
          <w:sz w:val="22"/>
          <w:szCs w:val="22"/>
        </w:rPr>
      </w:pPr>
      <w:r w:rsidRPr="00CD7450">
        <w:rPr>
          <w:rFonts w:ascii="Arial" w:hAnsi="Arial" w:cs="Arial"/>
          <w:sz w:val="22"/>
          <w:szCs w:val="22"/>
        </w:rPr>
        <w:t>An international list of data repositories is available via </w:t>
      </w:r>
      <w:hyperlink r:id="rId16">
        <w:r w:rsidRPr="00F50E67">
          <w:rPr>
            <w:rFonts w:ascii="Arial" w:hAnsi="Arial" w:cs="Arial"/>
            <w:color w:val="ED7D31" w:themeColor="accent2"/>
            <w:sz w:val="22"/>
            <w:szCs w:val="22"/>
          </w:rPr>
          <w:t>re3data</w:t>
        </w:r>
      </w:hyperlink>
      <w:r w:rsidRPr="00CD7450">
        <w:rPr>
          <w:rFonts w:ascii="Arial" w:hAnsi="Arial" w:cs="Arial"/>
          <w:sz w:val="22"/>
          <w:szCs w:val="22"/>
        </w:rPr>
        <w:t> and some universities or publishers provide lists of recommendations, e.g., </w:t>
      </w:r>
      <w:hyperlink r:id="rId17" w:anchor="loc-recommended-repositories">
        <w:r w:rsidRPr="00951A51">
          <w:rPr>
            <w:rFonts w:ascii="Arial" w:hAnsi="Arial" w:cs="Arial"/>
            <w:color w:val="ED7D31" w:themeColor="accent2"/>
            <w:sz w:val="22"/>
            <w:szCs w:val="22"/>
          </w:rPr>
          <w:t>PLOS ONE recommended repositories</w:t>
        </w:r>
      </w:hyperlink>
      <w:r w:rsidRPr="00CD7450">
        <w:rPr>
          <w:rFonts w:ascii="Arial" w:hAnsi="Arial" w:cs="Arial"/>
          <w:sz w:val="22"/>
          <w:szCs w:val="22"/>
        </w:rPr>
        <w:t>.</w:t>
      </w:r>
    </w:p>
    <w:p w14:paraId="2BF300F2" w14:textId="77777777" w:rsidR="00C97850" w:rsidRPr="00CD7450" w:rsidRDefault="00C97850" w:rsidP="00C97850">
      <w:pPr>
        <w:rPr>
          <w:rFonts w:ascii="Arial" w:hAnsi="Arial" w:cs="Arial"/>
          <w:sz w:val="22"/>
          <w:szCs w:val="22"/>
        </w:rPr>
      </w:pPr>
    </w:p>
    <w:p w14:paraId="2478197C" w14:textId="77777777" w:rsidR="00C97850" w:rsidRPr="00CD7450" w:rsidRDefault="00C97850" w:rsidP="00C97850">
      <w:pPr>
        <w:rPr>
          <w:rFonts w:ascii="Arial" w:hAnsi="Arial" w:cs="Arial"/>
          <w:sz w:val="22"/>
          <w:szCs w:val="22"/>
        </w:rPr>
      </w:pPr>
      <w:r w:rsidRPr="00CD7450">
        <w:rPr>
          <w:rFonts w:ascii="Arial" w:hAnsi="Arial" w:cs="Arial"/>
          <w:sz w:val="22"/>
          <w:szCs w:val="22"/>
        </w:rPr>
        <w:t>Data preservation:</w:t>
      </w:r>
    </w:p>
    <w:p w14:paraId="2E766E28" w14:textId="77777777" w:rsidR="00C97850" w:rsidRPr="00CD7450" w:rsidRDefault="00C97850" w:rsidP="00C97850">
      <w:pPr>
        <w:numPr>
          <w:ilvl w:val="0"/>
          <w:numId w:val="12"/>
        </w:numPr>
        <w:shd w:val="clear" w:color="auto" w:fill="FFFFFF"/>
        <w:overflowPunct w:val="0"/>
        <w:autoSpaceDE w:val="0"/>
        <w:autoSpaceDN w:val="0"/>
        <w:adjustRightInd w:val="0"/>
        <w:spacing w:before="280"/>
        <w:rPr>
          <w:rFonts w:ascii="Arial" w:hAnsi="Arial" w:cs="Arial"/>
          <w:color w:val="333333"/>
          <w:sz w:val="22"/>
          <w:szCs w:val="22"/>
        </w:rPr>
      </w:pPr>
      <w:r w:rsidRPr="00CD7450">
        <w:rPr>
          <w:rFonts w:ascii="Arial" w:hAnsi="Arial" w:cs="Arial"/>
          <w:color w:val="333333"/>
          <w:sz w:val="22"/>
          <w:szCs w:val="22"/>
        </w:rPr>
        <w:t>Outline the plans for data sharing and preservation - how long will the data be retained and where will it be archived? Will additional resources be needed to prepare data for deposit or meet any charges from data repositories?</w:t>
      </w:r>
    </w:p>
    <w:p w14:paraId="106CD2A5" w14:textId="77777777" w:rsidR="00C97850" w:rsidRPr="00CD7450" w:rsidRDefault="00C97850" w:rsidP="00C97850">
      <w:pPr>
        <w:numPr>
          <w:ilvl w:val="0"/>
          <w:numId w:val="12"/>
        </w:numPr>
        <w:shd w:val="clear" w:color="auto" w:fill="FFFFFF"/>
        <w:overflowPunct w:val="0"/>
        <w:autoSpaceDE w:val="0"/>
        <w:autoSpaceDN w:val="0"/>
        <w:adjustRightInd w:val="0"/>
        <w:spacing w:after="280"/>
        <w:rPr>
          <w:rFonts w:ascii="Arial" w:hAnsi="Arial" w:cs="Arial"/>
          <w:color w:val="333333"/>
          <w:sz w:val="22"/>
          <w:szCs w:val="22"/>
        </w:rPr>
      </w:pPr>
      <w:r w:rsidRPr="00CD7450">
        <w:rPr>
          <w:rFonts w:ascii="Arial" w:hAnsi="Arial" w:cs="Arial"/>
          <w:color w:val="333333"/>
          <w:sz w:val="22"/>
          <w:szCs w:val="22"/>
        </w:rPr>
        <w:t>See the </w:t>
      </w:r>
      <w:proofErr w:type="spellStart"/>
      <w:r w:rsidRPr="00CD7450">
        <w:rPr>
          <w:rFonts w:ascii="Arial" w:hAnsi="Arial" w:cs="Arial"/>
          <w:color w:val="333333"/>
          <w:sz w:val="22"/>
          <w:szCs w:val="22"/>
        </w:rPr>
        <w:t>DataONE</w:t>
      </w:r>
      <w:proofErr w:type="spellEnd"/>
      <w:r w:rsidRPr="00CD7450">
        <w:rPr>
          <w:rFonts w:ascii="Arial" w:hAnsi="Arial" w:cs="Arial"/>
          <w:color w:val="333333"/>
          <w:sz w:val="22"/>
          <w:szCs w:val="22"/>
        </w:rPr>
        <w:t xml:space="preserve"> Best Practices for </w:t>
      </w:r>
      <w:hyperlink r:id="rId18">
        <w:r w:rsidRPr="00F50E67">
          <w:rPr>
            <w:rFonts w:ascii="Arial" w:hAnsi="Arial" w:cs="Arial"/>
            <w:color w:val="ED7D31" w:themeColor="accent2"/>
            <w:sz w:val="22"/>
            <w:szCs w:val="22"/>
          </w:rPr>
          <w:t>Identifying data with long-term value</w:t>
        </w:r>
      </w:hyperlink>
      <w:r w:rsidRPr="00CD7450">
        <w:rPr>
          <w:rFonts w:ascii="Arial" w:hAnsi="Arial" w:cs="Arial"/>
          <w:color w:val="333333"/>
          <w:sz w:val="22"/>
          <w:szCs w:val="22"/>
        </w:rPr>
        <w:t>.</w:t>
      </w:r>
    </w:p>
    <w:p w14:paraId="110B9052" w14:textId="77777777" w:rsidR="00057112" w:rsidRPr="00CD7450" w:rsidRDefault="00057112" w:rsidP="00057112">
      <w:pPr>
        <w:rPr>
          <w:rFonts w:ascii="Arial" w:hAnsi="Arial" w:cs="Arial"/>
          <w:bCs/>
          <w:sz w:val="22"/>
          <w:szCs w:val="22"/>
          <w:u w:val="single"/>
        </w:rPr>
      </w:pPr>
    </w:p>
    <w:p w14:paraId="3D2CD723" w14:textId="64357791" w:rsidR="005F70CC" w:rsidRPr="00CD7450" w:rsidRDefault="005F70CC" w:rsidP="005F70CC">
      <w:pPr>
        <w:rPr>
          <w:rFonts w:ascii="Arial" w:hAnsi="Arial" w:cs="Arial"/>
          <w:b/>
          <w:bCs/>
          <w:sz w:val="22"/>
          <w:szCs w:val="22"/>
        </w:rPr>
      </w:pPr>
      <w:r w:rsidRPr="00CD7450">
        <w:rPr>
          <w:rFonts w:ascii="Arial" w:hAnsi="Arial" w:cs="Arial"/>
          <w:b/>
          <w:bCs/>
          <w:sz w:val="22"/>
          <w:szCs w:val="22"/>
        </w:rPr>
        <w:t>Justification for the restriction of data</w:t>
      </w:r>
    </w:p>
    <w:p w14:paraId="7C461E46" w14:textId="77777777" w:rsidR="005F70CC" w:rsidRPr="00CD7450" w:rsidRDefault="005F70CC" w:rsidP="005F70CC">
      <w:pPr>
        <w:ind w:left="360"/>
        <w:rPr>
          <w:rFonts w:ascii="Arial" w:hAnsi="Arial" w:cs="Arial"/>
          <w:b/>
          <w:bCs/>
          <w:sz w:val="22"/>
          <w:szCs w:val="22"/>
        </w:rPr>
      </w:pPr>
      <w:r w:rsidRPr="00CD7450">
        <w:rPr>
          <w:rFonts w:ascii="Arial" w:hAnsi="Arial" w:cs="Arial"/>
          <w:noProof/>
          <w:sz w:val="22"/>
          <w:szCs w:val="22"/>
        </w:rPr>
        <mc:AlternateContent>
          <mc:Choice Requires="wps">
            <w:drawing>
              <wp:anchor distT="0" distB="0" distL="114300" distR="114300" simplePos="0" relativeHeight="251670528" behindDoc="0" locked="0" layoutInCell="1" allowOverlap="1" wp14:anchorId="29045360" wp14:editId="25FF4BBD">
                <wp:simplePos x="0" y="0"/>
                <wp:positionH relativeFrom="margin">
                  <wp:align>center</wp:align>
                </wp:positionH>
                <wp:positionV relativeFrom="paragraph">
                  <wp:posOffset>75920</wp:posOffset>
                </wp:positionV>
                <wp:extent cx="6858000" cy="38100"/>
                <wp:effectExtent l="57150" t="0" r="76200" b="133350"/>
                <wp:wrapNone/>
                <wp:docPr id="9" name="Straight Connector 9"/>
                <wp:cNvGraphicFramePr/>
                <a:graphic xmlns:a="http://schemas.openxmlformats.org/drawingml/2006/main">
                  <a:graphicData uri="http://schemas.microsoft.com/office/word/2010/wordprocessingShape">
                    <wps:wsp>
                      <wps:cNvCnPr/>
                      <wps:spPr>
                        <a:xfrm flipV="1">
                          <a:off x="0" y="0"/>
                          <a:ext cx="6858000" cy="38100"/>
                        </a:xfrm>
                        <a:prstGeom prst="line">
                          <a:avLst/>
                        </a:prstGeom>
                        <a:ln w="12700">
                          <a:solidFill>
                            <a:schemeClr val="tx1"/>
                          </a:solidFill>
                        </a:ln>
                        <a:effectLst>
                          <a:outerShdw blurRad="50800" dist="50800" dir="5400000" algn="ctr" rotWithShape="0">
                            <a:schemeClr val="tx1"/>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90DC9" id="Straight Connector 9" o:spid="_x0000_s1026" style="position:absolute;flip:y;z-index:251670528;visibility:visible;mso-wrap-style:square;mso-wrap-distance-left:9pt;mso-wrap-distance-top:0;mso-wrap-distance-right:9pt;mso-wrap-distance-bottom:0;mso-position-horizontal:center;mso-position-horizontal-relative:margin;mso-position-vertical:absolute;mso-position-vertical-relative:text" from="0,6pt" to="54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" strokecolor="black [3213]" strokeweight="1pt">
                <v:stroke joinstyle="miter"/>
                <v:shadow on="t" color="black [3213]" offset="0,4pt"/>
                <w10:wrap anchorx="margin"/>
              </v:line>
            </w:pict>
          </mc:Fallback>
        </mc:AlternateContent>
      </w:r>
    </w:p>
    <w:p w14:paraId="190635A4" w14:textId="77777777" w:rsidR="00D13640" w:rsidRPr="00CD7450" w:rsidRDefault="00D13640" w:rsidP="00416BF3">
      <w:pPr>
        <w:rPr>
          <w:rFonts w:ascii="Arial" w:hAnsi="Arial" w:cs="Arial"/>
          <w:color w:val="C45911" w:themeColor="accent2" w:themeShade="BF"/>
          <w:sz w:val="22"/>
          <w:szCs w:val="22"/>
        </w:rPr>
      </w:pPr>
    </w:p>
    <w:p w14:paraId="4B8A5F45" w14:textId="5163EBBB" w:rsidR="00074334" w:rsidRPr="001E2383" w:rsidRDefault="00074334" w:rsidP="00416BF3">
      <w:pPr>
        <w:rPr>
          <w:rFonts w:ascii="Arial" w:hAnsi="Arial" w:cs="Arial"/>
          <w:bCs/>
          <w:sz w:val="22"/>
          <w:szCs w:val="22"/>
          <w:u w:val="single"/>
        </w:rPr>
      </w:pPr>
      <w:r w:rsidRPr="00CD7450">
        <w:rPr>
          <w:rFonts w:ascii="Arial" w:hAnsi="Arial" w:cs="Arial"/>
          <w:bCs/>
          <w:sz w:val="22"/>
          <w:szCs w:val="22"/>
          <w:u w:val="single"/>
        </w:rPr>
        <w:t>If, for legitimate reasons, the data cannot be preserved and made available for public access, the plan will include a justification citing such reasons.</w:t>
      </w:r>
    </w:p>
    <w:sectPr w:rsidR="00074334" w:rsidRPr="001E2383" w:rsidSect="00F66214">
      <w:headerReference w:type="default" r:id="rId19"/>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5FB5" w14:textId="77777777" w:rsidR="00DD224B" w:rsidRDefault="00DD224B">
      <w:r>
        <w:separator/>
      </w:r>
    </w:p>
  </w:endnote>
  <w:endnote w:type="continuationSeparator" w:id="0">
    <w:p w14:paraId="03932A79" w14:textId="77777777" w:rsidR="00DD224B" w:rsidRDefault="00DD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19E7" w14:textId="77777777" w:rsidR="00DD224B" w:rsidRDefault="00DD224B">
      <w:r>
        <w:separator/>
      </w:r>
    </w:p>
  </w:footnote>
  <w:footnote w:type="continuationSeparator" w:id="0">
    <w:p w14:paraId="2B855EC9" w14:textId="77777777" w:rsidR="00DD224B" w:rsidRDefault="00DD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9633" w14:textId="77777777" w:rsidR="00E127A1" w:rsidRDefault="00DD224B" w:rsidP="003E1ED9">
    <w:pPr>
      <w:pStyle w:val="Header"/>
      <w:jc w:val="center"/>
      <w:rPr>
        <w:b/>
        <w:bCs/>
        <w:color w:val="FF0000"/>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24CE5"/>
    <w:multiLevelType w:val="multilevel"/>
    <w:tmpl w:val="594E5A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6FB61EC"/>
    <w:multiLevelType w:val="multilevel"/>
    <w:tmpl w:val="EBDE2B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A91544"/>
    <w:multiLevelType w:val="multilevel"/>
    <w:tmpl w:val="EDC8A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51C6EC3"/>
    <w:multiLevelType w:val="multilevel"/>
    <w:tmpl w:val="007047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1E3069"/>
    <w:multiLevelType w:val="multilevel"/>
    <w:tmpl w:val="E9482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17538A7"/>
    <w:multiLevelType w:val="multilevel"/>
    <w:tmpl w:val="187EDE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6BD6B46"/>
    <w:multiLevelType w:val="multilevel"/>
    <w:tmpl w:val="399EF1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CDB0A68"/>
    <w:multiLevelType w:val="multilevel"/>
    <w:tmpl w:val="DB1691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251B5"/>
    <w:multiLevelType w:val="hybridMultilevel"/>
    <w:tmpl w:val="7D5A6A14"/>
    <w:lvl w:ilvl="0" w:tplc="3154DE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11"/>
  </w:num>
  <w:num w:numId="5">
    <w:abstractNumId w:val="5"/>
  </w:num>
  <w:num w:numId="6">
    <w:abstractNumId w:val="7"/>
  </w:num>
  <w:num w:numId="7">
    <w:abstractNumId w:val="6"/>
  </w:num>
  <w:num w:numId="8">
    <w:abstractNumId w:val="1"/>
  </w:num>
  <w:num w:numId="9">
    <w:abstractNumId w:val="8"/>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02"/>
    <w:rsid w:val="0004071D"/>
    <w:rsid w:val="00057112"/>
    <w:rsid w:val="00074334"/>
    <w:rsid w:val="00097388"/>
    <w:rsid w:val="000A56B4"/>
    <w:rsid w:val="000D684A"/>
    <w:rsid w:val="00164D2F"/>
    <w:rsid w:val="00172B11"/>
    <w:rsid w:val="001925FA"/>
    <w:rsid w:val="001E2383"/>
    <w:rsid w:val="002E25A7"/>
    <w:rsid w:val="002E6A37"/>
    <w:rsid w:val="003356A0"/>
    <w:rsid w:val="003A7F3F"/>
    <w:rsid w:val="003C0DEE"/>
    <w:rsid w:val="003E0A9D"/>
    <w:rsid w:val="00416BF3"/>
    <w:rsid w:val="00425391"/>
    <w:rsid w:val="00435647"/>
    <w:rsid w:val="00463A2F"/>
    <w:rsid w:val="0049388B"/>
    <w:rsid w:val="004B537F"/>
    <w:rsid w:val="00514FE1"/>
    <w:rsid w:val="005175A9"/>
    <w:rsid w:val="00533F0E"/>
    <w:rsid w:val="00561BEF"/>
    <w:rsid w:val="0056245F"/>
    <w:rsid w:val="005F70CC"/>
    <w:rsid w:val="00637B0B"/>
    <w:rsid w:val="006D5933"/>
    <w:rsid w:val="00732250"/>
    <w:rsid w:val="00791FAB"/>
    <w:rsid w:val="007E653B"/>
    <w:rsid w:val="0080662E"/>
    <w:rsid w:val="00872E05"/>
    <w:rsid w:val="00883A8D"/>
    <w:rsid w:val="008B5716"/>
    <w:rsid w:val="008E1345"/>
    <w:rsid w:val="00951A51"/>
    <w:rsid w:val="009D5B6E"/>
    <w:rsid w:val="00A162DE"/>
    <w:rsid w:val="00A456C6"/>
    <w:rsid w:val="00A940D7"/>
    <w:rsid w:val="00AA24B0"/>
    <w:rsid w:val="00B2603E"/>
    <w:rsid w:val="00B57BCE"/>
    <w:rsid w:val="00BD2E52"/>
    <w:rsid w:val="00C05E57"/>
    <w:rsid w:val="00C24A68"/>
    <w:rsid w:val="00C251B5"/>
    <w:rsid w:val="00C97850"/>
    <w:rsid w:val="00CA1580"/>
    <w:rsid w:val="00CA76B7"/>
    <w:rsid w:val="00CD7450"/>
    <w:rsid w:val="00D13640"/>
    <w:rsid w:val="00D25867"/>
    <w:rsid w:val="00DA0C6A"/>
    <w:rsid w:val="00DD224B"/>
    <w:rsid w:val="00DD2625"/>
    <w:rsid w:val="00DE75BE"/>
    <w:rsid w:val="00DF0654"/>
    <w:rsid w:val="00E61302"/>
    <w:rsid w:val="00E70FB2"/>
    <w:rsid w:val="00E724FB"/>
    <w:rsid w:val="00ED59F9"/>
    <w:rsid w:val="00F50E67"/>
    <w:rsid w:val="00F60A10"/>
    <w:rsid w:val="00FD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AAA6"/>
  <w15:chartTrackingRefBased/>
  <w15:docId w15:val="{909D3279-41D2-4F70-9F45-228B7727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3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1302"/>
    <w:pPr>
      <w:tabs>
        <w:tab w:val="center" w:pos="4320"/>
        <w:tab w:val="right" w:pos="8640"/>
      </w:tabs>
      <w:autoSpaceDE w:val="0"/>
      <w:autoSpaceDN w:val="0"/>
    </w:pPr>
    <w:rPr>
      <w:rFonts w:ascii="Arial" w:hAnsi="Arial"/>
      <w:sz w:val="22"/>
    </w:rPr>
  </w:style>
  <w:style w:type="character" w:customStyle="1" w:styleId="HeaderChar">
    <w:name w:val="Header Char"/>
    <w:basedOn w:val="DefaultParagraphFont"/>
    <w:link w:val="Header"/>
    <w:rsid w:val="00E61302"/>
    <w:rPr>
      <w:rFonts w:ascii="Arial" w:eastAsia="Times New Roman" w:hAnsi="Arial" w:cs="Times New Roman"/>
      <w:szCs w:val="24"/>
    </w:rPr>
  </w:style>
  <w:style w:type="paragraph" w:customStyle="1" w:styleId="DataField11pt-Single">
    <w:name w:val="Data Field 11pt-Single"/>
    <w:basedOn w:val="Normal"/>
    <w:link w:val="DataField11pt-SingleChar"/>
    <w:rsid w:val="00E61302"/>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E61302"/>
    <w:rPr>
      <w:rFonts w:ascii="Arial" w:eastAsia="Times New Roman" w:hAnsi="Arial" w:cs="Arial"/>
      <w:szCs w:val="20"/>
    </w:rPr>
  </w:style>
  <w:style w:type="paragraph" w:customStyle="1" w:styleId="HeadingNote">
    <w:name w:val="Heading Note"/>
    <w:basedOn w:val="Normal"/>
    <w:rsid w:val="00E61302"/>
    <w:pPr>
      <w:pBdr>
        <w:bottom w:val="single" w:sz="4" w:space="6" w:color="auto"/>
      </w:pBdr>
      <w:autoSpaceDE w:val="0"/>
      <w:autoSpaceDN w:val="0"/>
      <w:spacing w:before="40" w:after="40"/>
      <w:jc w:val="center"/>
    </w:pPr>
    <w:rPr>
      <w:rFonts w:ascii="Arial" w:hAnsi="Arial" w:cs="Arial"/>
      <w:iCs/>
      <w:sz w:val="16"/>
      <w:szCs w:val="16"/>
    </w:rPr>
  </w:style>
  <w:style w:type="character" w:styleId="Strong">
    <w:name w:val="Strong"/>
    <w:basedOn w:val="DefaultParagraphFont"/>
    <w:qFormat/>
    <w:rsid w:val="00E61302"/>
    <w:rPr>
      <w:b/>
      <w:bCs/>
    </w:rPr>
  </w:style>
  <w:style w:type="paragraph" w:styleId="Title">
    <w:name w:val="Title"/>
    <w:basedOn w:val="Normal"/>
    <w:next w:val="Normal"/>
    <w:link w:val="TitleChar"/>
    <w:qFormat/>
    <w:rsid w:val="00E61302"/>
    <w:pPr>
      <w:pBdr>
        <w:top w:val="single" w:sz="4" w:space="1" w:color="auto"/>
      </w:pBdr>
      <w:autoSpaceDE w:val="0"/>
      <w:autoSpaceDN w:val="0"/>
      <w:spacing w:before="240"/>
      <w:jc w:val="center"/>
    </w:pPr>
    <w:rPr>
      <w:rFonts w:ascii="Arial" w:hAnsi="Arial"/>
      <w:b/>
      <w:sz w:val="22"/>
    </w:rPr>
  </w:style>
  <w:style w:type="character" w:customStyle="1" w:styleId="TitleChar">
    <w:name w:val="Title Char"/>
    <w:basedOn w:val="DefaultParagraphFont"/>
    <w:link w:val="Title"/>
    <w:rsid w:val="00E61302"/>
    <w:rPr>
      <w:rFonts w:ascii="Arial" w:eastAsia="Times New Roman" w:hAnsi="Arial" w:cs="Times New Roman"/>
      <w:b/>
      <w:szCs w:val="24"/>
    </w:rPr>
  </w:style>
  <w:style w:type="character" w:styleId="Hyperlink">
    <w:name w:val="Hyperlink"/>
    <w:basedOn w:val="DefaultParagraphFont"/>
    <w:uiPriority w:val="99"/>
    <w:unhideWhenUsed/>
    <w:qFormat/>
    <w:rsid w:val="009D5B6E"/>
    <w:rPr>
      <w:color w:val="ED7D31" w:themeColor="accent2"/>
      <w:u w:val="none"/>
    </w:rPr>
  </w:style>
  <w:style w:type="paragraph" w:styleId="ListParagraph">
    <w:name w:val="List Paragraph"/>
    <w:basedOn w:val="Normal"/>
    <w:uiPriority w:val="34"/>
    <w:qFormat/>
    <w:rsid w:val="00F60A10"/>
    <w:pPr>
      <w:ind w:left="720"/>
      <w:contextualSpacing/>
    </w:pPr>
  </w:style>
  <w:style w:type="character" w:styleId="FollowedHyperlink">
    <w:name w:val="FollowedHyperlink"/>
    <w:basedOn w:val="DefaultParagraphFont"/>
    <w:uiPriority w:val="99"/>
    <w:semiHidden/>
    <w:unhideWhenUsed/>
    <w:rsid w:val="008B5716"/>
    <w:rPr>
      <w:color w:val="ED7D31" w:themeColor="accent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alliance.github.io/metadata-directory/standards/" TargetMode="External"/><Relationship Id="rId13" Type="http://schemas.openxmlformats.org/officeDocument/2006/relationships/hyperlink" Target="https://dataoneorg.github.io/Education/bestpractices/create-and-document" TargetMode="External"/><Relationship Id="rId18" Type="http://schemas.openxmlformats.org/officeDocument/2006/relationships/hyperlink" Target="https://dataoneorg.github.io/Education/bestpractices/identify-data-wit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ataoneorg.github.io/Education/bestpractices/document-and-store" TargetMode="External"/><Relationship Id="rId12" Type="http://schemas.openxmlformats.org/officeDocument/2006/relationships/hyperlink" Target="https://ufal.github.io/public-license-selector/" TargetMode="External"/><Relationship Id="rId17" Type="http://schemas.openxmlformats.org/officeDocument/2006/relationships/hyperlink" Target="http://journals.plos.org/plosone/s/data-availability" TargetMode="External"/><Relationship Id="rId2" Type="http://schemas.openxmlformats.org/officeDocument/2006/relationships/styles" Target="styles.xml"/><Relationship Id="rId16" Type="http://schemas.openxmlformats.org/officeDocument/2006/relationships/hyperlink" Target="http://www.re3data.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cc.ac.uk/resources/how-guides/license-research-data" TargetMode="External"/><Relationship Id="rId5" Type="http://schemas.openxmlformats.org/officeDocument/2006/relationships/footnotes" Target="footnotes.xml"/><Relationship Id="rId15" Type="http://schemas.openxmlformats.org/officeDocument/2006/relationships/hyperlink" Target="https://www.ukdataservice.ac.uk/manage-data/store/security" TargetMode="External"/><Relationship Id="rId10" Type="http://schemas.openxmlformats.org/officeDocument/2006/relationships/hyperlink" Target="https://www.hhs.gov/hipaa/for-professionals/special-topics/research/index.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psr.umich.edu/icpsrweb/content/datamanagement/confidentiality/index.html" TargetMode="External"/><Relationship Id="rId14" Type="http://schemas.openxmlformats.org/officeDocument/2006/relationships/hyperlink" Target="http://www.dcc.ac.uk/resources/briefing-papers/standards-watch-papers/information-security-management-iso-27000-iso-27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Rougeau, Amala K</dc:creator>
  <cp:keywords/>
  <dc:description/>
  <cp:lastModifiedBy>Rougeau, Amala K</cp:lastModifiedBy>
  <cp:revision>22</cp:revision>
  <dcterms:created xsi:type="dcterms:W3CDTF">2024-11-07T17:24:00Z</dcterms:created>
  <dcterms:modified xsi:type="dcterms:W3CDTF">2025-02-06T21:54:00Z</dcterms:modified>
</cp:coreProperties>
</file>